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Verteilung der Geschäftsanteile und Vesting-Mechanik</w:t>
      </w:r>
    </w:p>
    <w:p>
      <w:pPr>
        <w:jc w:val="left"/>
      </w:pPr>
      <w:r>
        <w:t>Stand: 16.05.2026, Diskussionspapier zwischen Aylin, Jonas, Mira mit Anmerkungen Pfaffenrode (per E-Mail vom 14.05.2026).</w:t>
      </w:r>
    </w:p>
    <w:p>
      <w:pPr>
        <w:pStyle w:val="Heading2"/>
      </w:pPr>
      <w:r>
        <w:rPr>
          <w:rFonts w:ascii="Times New Roman" w:hAnsi="Times New Roman"/>
        </w:rPr>
        <w:t>1. Verteilung bei Gründung (vor Kapitalerhöhung Pfaffenrode)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Nennbetrag</w:t>
            </w:r>
          </w:p>
        </w:tc>
        <w:tc>
          <w:tcPr>
            <w:tcW w:type="dxa" w:w="2268"/>
          </w:tcPr>
          <w:p>
            <w:r>
              <w:rPr>
                <w:rFonts w:ascii="Times New Roman" w:hAnsi="Times New Roman"/>
                <w:b/>
                <w:sz w:val="20"/>
              </w:rPr>
              <w:t>Anteil in Prozent</w:t>
            </w:r>
          </w:p>
        </w:tc>
        <w:tc>
          <w:tcPr>
            <w:tcW w:type="dxa" w:w="2268"/>
          </w:tcPr>
          <w:p>
            <w:r>
              <w:rPr>
                <w:rFonts w:ascii="Times New Roman" w:hAnsi="Times New Roman"/>
                <w:b/>
                <w:sz w:val="20"/>
              </w:rPr>
              <w:t>Beitrag</w:t>
            </w:r>
          </w:p>
        </w:tc>
      </w:tr>
      <w:tr>
        <w:tc>
          <w:tcPr>
            <w:tcW w:type="dxa" w:w="2268"/>
          </w:tcPr>
          <w:p>
            <w:r>
              <w:rPr>
                <w:rFonts w:ascii="Times New Roman" w:hAnsi="Times New Roman"/>
                <w:sz w:val="20"/>
              </w:rPr>
              <w:t>Dr. Aylin Soeren</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Bareinlage, Geschäftsführerin, Produkt- und Strategieverantwortung</w:t>
            </w:r>
          </w:p>
        </w:tc>
      </w:tr>
      <w:tr>
        <w:tc>
          <w:tcPr>
            <w:tcW w:type="dxa" w:w="2268"/>
          </w:tcPr>
          <w:p>
            <w:r>
              <w:rPr>
                <w:rFonts w:ascii="Times New Roman" w:hAnsi="Times New Roman"/>
                <w:sz w:val="20"/>
              </w:rPr>
              <w:t>Jonas Kreutzberger</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Bareinlage, CTO, Protokoll-Entwicklung</w:t>
            </w:r>
          </w:p>
        </w:tc>
      </w:tr>
      <w:tr>
        <w:tc>
          <w:tcPr>
            <w:tcW w:type="dxa" w:w="2268"/>
          </w:tcPr>
          <w:p>
            <w:r>
              <w:rPr>
                <w:rFonts w:ascii="Times New Roman" w:hAnsi="Times New Roman"/>
                <w:sz w:val="20"/>
              </w:rPr>
              <w:t>Mira Holzbach</w:t>
            </w:r>
          </w:p>
        </w:tc>
        <w:tc>
          <w:tcPr>
            <w:tcW w:type="dxa" w:w="2268"/>
          </w:tcPr>
          <w:p>
            <w:r>
              <w:rPr>
                <w:rFonts w:ascii="Times New Roman" w:hAnsi="Times New Roman"/>
                <w:sz w:val="20"/>
              </w:rPr>
              <w:t>7.000 EUR</w:t>
            </w:r>
          </w:p>
        </w:tc>
        <w:tc>
          <w:tcPr>
            <w:tcW w:type="dxa" w:w="2268"/>
          </w:tcPr>
          <w:p>
            <w:r>
              <w:rPr>
                <w:rFonts w:ascii="Times New Roman" w:hAnsi="Times New Roman"/>
                <w:sz w:val="20"/>
              </w:rPr>
              <w:t>28,0</w:t>
            </w:r>
          </w:p>
        </w:tc>
        <w:tc>
          <w:tcPr>
            <w:tcW w:type="dxa" w:w="2268"/>
          </w:tcPr>
          <w:p>
            <w:r>
              <w:rPr>
                <w:rFonts w:ascii="Times New Roman" w:hAnsi="Times New Roman"/>
                <w:sz w:val="20"/>
              </w:rPr>
              <w:t>Bareinlage, Produkt und Wirtschaft, Lizenz Domain/Repo unentgeltlich</w:t>
            </w:r>
          </w:p>
        </w:tc>
      </w:tr>
      <w:tr>
        <w:tc>
          <w:tcPr>
            <w:tcW w:type="dxa" w:w="2268"/>
          </w:tcPr>
          <w:p>
            <w:r>
              <w:rPr>
                <w:rFonts w:ascii="Times New Roman" w:hAnsi="Times New Roman"/>
                <w:sz w:val="20"/>
              </w:rPr>
              <w:t>Summe</w:t>
            </w:r>
          </w:p>
        </w:tc>
        <w:tc>
          <w:tcPr>
            <w:tcW w:type="dxa" w:w="2268"/>
          </w:tcPr>
          <w:p>
            <w:r>
              <w:rPr>
                <w:rFonts w:ascii="Times New Roman" w:hAnsi="Times New Roman"/>
                <w:sz w:val="20"/>
              </w:rPr>
              <w:t>25.000 EUR</w:t>
            </w:r>
          </w:p>
        </w:tc>
        <w:tc>
          <w:tcPr>
            <w:tcW w:type="dxa" w:w="2268"/>
          </w:tcPr>
          <w:p>
            <w:r>
              <w:rPr>
                <w:rFonts w:ascii="Times New Roman" w:hAnsi="Times New Roman"/>
                <w:sz w:val="20"/>
              </w:rPr>
              <w:t>100,0</w:t>
            </w:r>
          </w:p>
        </w:tc>
        <w:tc>
          <w:tcPr>
            <w:tcW w:type="dxa" w:w="2268"/>
          </w:tcPr>
          <w:p>
            <w:r>
              <w:rPr>
                <w:rFonts w:ascii="Times New Roman" w:hAnsi="Times New Roman"/>
                <w:sz w:val="20"/>
              </w:rPr>
              <w:t>—</w:t>
            </w:r>
          </w:p>
        </w:tc>
      </w:tr>
    </w:tbl>
    <w:p>
      <w:pPr>
        <w:jc w:val="left"/>
      </w:pPr>
      <w:r>
        <w:t>Mira erhält im Side-Letter einen ESOP-Anspruch über zusätzliche 3 Prozent als Ausgleich für die unentgeltliche Lizenz. Diese 3 Prozent werden aus einem späteren ESOP-Pool von 8 Prozent zugeteilt, nicht aus dem Bestand der Gründer-Anteile.</w:t>
      </w:r>
    </w:p>
    <w:p>
      <w:pPr>
        <w:pStyle w:val="Heading2"/>
      </w:pPr>
      <w:r>
        <w:rPr>
          <w:rFonts w:ascii="Times New Roman" w:hAnsi="Times New Roman"/>
        </w:rPr>
        <w:t>2. Verteilung nach Kapitalerhöhung Pfaffenrode</w:t>
      </w:r>
    </w:p>
    <w:p>
      <w:pPr>
        <w:jc w:val="left"/>
      </w:pPr>
      <w:r>
        <w:t>Pfaffenrode investiert 50.000 EUR in eine Kapitalerhöhung gegen Ausgabe neuer Geschäftsanteile. Bewertung Post-Money 1.000.000 EUR. Pfaffenrode erhält 5 Prozent.</w:t>
      </w:r>
    </w:p>
    <w:p>
      <w:pPr>
        <w:jc w:val="left"/>
      </w:pPr>
      <w:r>
        <w:t>Cap Table nach Kapitalerhöhung: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Nennbetrag</w:t>
            </w:r>
          </w:p>
        </w:tc>
        <w:tc>
          <w:tcPr>
            <w:tcW w:type="dxa" w:w="3024"/>
          </w:tcPr>
          <w:p>
            <w:r>
              <w:rPr>
                <w:rFonts w:ascii="Times New Roman" w:hAnsi="Times New Roman"/>
                <w:b/>
                <w:sz w:val="20"/>
              </w:rPr>
              <w:t>Anteil in Prozent</w:t>
            </w:r>
          </w:p>
        </w:tc>
      </w:tr>
      <w:tr>
        <w:tc>
          <w:tcPr>
            <w:tcW w:type="dxa" w:w="3024"/>
          </w:tcPr>
          <w:p>
            <w:r>
              <w:rPr>
                <w:rFonts w:ascii="Times New Roman" w:hAnsi="Times New Roman"/>
                <w:sz w:val="20"/>
              </w:rPr>
              <w:t>Dr. Aylin Soeren</w:t>
            </w:r>
          </w:p>
        </w:tc>
        <w:tc>
          <w:tcPr>
            <w:tcW w:type="dxa" w:w="3024"/>
          </w:tcPr>
          <w:p>
            <w:r>
              <w:rPr>
                <w:rFonts w:ascii="Times New Roman" w:hAnsi="Times New Roman"/>
                <w:sz w:val="20"/>
              </w:rPr>
              <w:t>9.000 EUR</w:t>
            </w:r>
          </w:p>
        </w:tc>
        <w:tc>
          <w:tcPr>
            <w:tcW w:type="dxa" w:w="3024"/>
          </w:tcPr>
          <w:p>
            <w:r>
              <w:rPr>
                <w:rFonts w:ascii="Times New Roman" w:hAnsi="Times New Roman"/>
                <w:sz w:val="20"/>
              </w:rPr>
              <w:t>34,2</w:t>
            </w:r>
          </w:p>
        </w:tc>
      </w:tr>
      <w:tr>
        <w:tc>
          <w:tcPr>
            <w:tcW w:type="dxa" w:w="3024"/>
          </w:tcPr>
          <w:p>
            <w:r>
              <w:rPr>
                <w:rFonts w:ascii="Times New Roman" w:hAnsi="Times New Roman"/>
                <w:sz w:val="20"/>
              </w:rPr>
              <w:t>Jonas Kreutzberger</w:t>
            </w:r>
          </w:p>
        </w:tc>
        <w:tc>
          <w:tcPr>
            <w:tcW w:type="dxa" w:w="3024"/>
          </w:tcPr>
          <w:p>
            <w:r>
              <w:rPr>
                <w:rFonts w:ascii="Times New Roman" w:hAnsi="Times New Roman"/>
                <w:sz w:val="20"/>
              </w:rPr>
              <w:t>9.000 EUR</w:t>
            </w:r>
          </w:p>
        </w:tc>
        <w:tc>
          <w:tcPr>
            <w:tcW w:type="dxa" w:w="3024"/>
          </w:tcPr>
          <w:p>
            <w:r>
              <w:rPr>
                <w:rFonts w:ascii="Times New Roman" w:hAnsi="Times New Roman"/>
                <w:sz w:val="20"/>
              </w:rPr>
              <w:t>34,2</w:t>
            </w:r>
          </w:p>
        </w:tc>
      </w:tr>
      <w:tr>
        <w:tc>
          <w:tcPr>
            <w:tcW w:type="dxa" w:w="3024"/>
          </w:tcPr>
          <w:p>
            <w:r>
              <w:rPr>
                <w:rFonts w:ascii="Times New Roman" w:hAnsi="Times New Roman"/>
                <w:sz w:val="20"/>
              </w:rPr>
              <w:t>Mira Holzbach</w:t>
            </w:r>
          </w:p>
        </w:tc>
        <w:tc>
          <w:tcPr>
            <w:tcW w:type="dxa" w:w="3024"/>
          </w:tcPr>
          <w:p>
            <w:r>
              <w:rPr>
                <w:rFonts w:ascii="Times New Roman" w:hAnsi="Times New Roman"/>
                <w:sz w:val="20"/>
              </w:rPr>
              <w:t>7.000 EUR</w:t>
            </w:r>
          </w:p>
        </w:tc>
        <w:tc>
          <w:tcPr>
            <w:tcW w:type="dxa" w:w="3024"/>
          </w:tcPr>
          <w:p>
            <w:r>
              <w:rPr>
                <w:rFonts w:ascii="Times New Roman" w:hAnsi="Times New Roman"/>
                <w:sz w:val="20"/>
              </w:rPr>
              <w:t>26,6</w:t>
            </w:r>
          </w:p>
        </w:tc>
      </w:tr>
      <w:tr>
        <w:tc>
          <w:tcPr>
            <w:tcW w:type="dxa" w:w="3024"/>
          </w:tcPr>
          <w:p>
            <w:r>
              <w:rPr>
                <w:rFonts w:ascii="Times New Roman" w:hAnsi="Times New Roman"/>
                <w:sz w:val="20"/>
              </w:rPr>
              <w:t>Sebastian Pfaffenrode</w:t>
            </w:r>
          </w:p>
        </w:tc>
        <w:tc>
          <w:tcPr>
            <w:tcW w:type="dxa" w:w="3024"/>
          </w:tcPr>
          <w:p>
            <w:r>
              <w:rPr>
                <w:rFonts w:ascii="Times New Roman" w:hAnsi="Times New Roman"/>
                <w:sz w:val="20"/>
              </w:rPr>
              <w:t>1.317 EUR</w:t>
            </w:r>
          </w:p>
        </w:tc>
        <w:tc>
          <w:tcPr>
            <w:tcW w:type="dxa" w:w="3024"/>
          </w:tcPr>
          <w:p>
            <w:r>
              <w:rPr>
                <w:rFonts w:ascii="Times New Roman" w:hAnsi="Times New Roman"/>
                <w:sz w:val="20"/>
              </w:rPr>
              <w:t>5,0</w:t>
            </w:r>
          </w:p>
        </w:tc>
      </w:tr>
      <w:tr>
        <w:tc>
          <w:tcPr>
            <w:tcW w:type="dxa" w:w="3024"/>
          </w:tcPr>
          <w:p>
            <w:r>
              <w:rPr>
                <w:rFonts w:ascii="Times New Roman" w:hAnsi="Times New Roman"/>
                <w:sz w:val="20"/>
              </w:rPr>
              <w:t>Summe</w:t>
            </w:r>
          </w:p>
        </w:tc>
        <w:tc>
          <w:tcPr>
            <w:tcW w:type="dxa" w:w="3024"/>
          </w:tcPr>
          <w:p>
            <w:r>
              <w:rPr>
                <w:rFonts w:ascii="Times New Roman" w:hAnsi="Times New Roman"/>
                <w:sz w:val="20"/>
              </w:rPr>
              <w:t>26.317 EUR</w:t>
            </w:r>
          </w:p>
        </w:tc>
        <w:tc>
          <w:tcPr>
            <w:tcW w:type="dxa" w:w="3024"/>
          </w:tcPr>
          <w:p>
            <w:r>
              <w:rPr>
                <w:rFonts w:ascii="Times New Roman" w:hAnsi="Times New Roman"/>
                <w:sz w:val="20"/>
              </w:rPr>
              <w:t>100,0</w:t>
            </w:r>
          </w:p>
        </w:tc>
      </w:tr>
    </w:tbl>
    <w:p>
      <w:pPr>
        <w:jc w:val="left"/>
      </w:pPr>
      <w:r>
        <w:t>Die genauen Nennbeträge sind das Ergebnis der Kapitalerhöhung um 1.317 EUR auf 26.317 EUR, wobei Pfaffenrode den neuen Geschäftsanteil mit einem Aufgeld (Agio) von 48.683 EUR übernimmt, das in die Kapitalrücklage gestellt wird.</w:t>
      </w:r>
    </w:p>
    <w:p>
      <w:pPr>
        <w:jc w:val="left"/>
      </w:pPr>
      <w:r>
        <w:t>Hinweis: Die genaue Aufteilung der Nennbeträge muss durch die Notarin in der Kapitalerhöhungsurkunde sauber abgebildet werden. Die runden Prozentwerte sind das Endergebnis nach Rundungen.</w:t>
      </w:r>
    </w:p>
    <w:p>
      <w:pPr>
        <w:pStyle w:val="Heading2"/>
      </w:pPr>
      <w:r>
        <w:rPr>
          <w:rFonts w:ascii="Times New Roman" w:hAnsi="Times New Roman"/>
        </w:rPr>
        <w:t>3. ESOP-Pool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Pool-Größe</w:t>
            </w:r>
          </w:p>
        </w:tc>
        <w:tc>
          <w:tcPr>
            <w:tcW w:type="dxa" w:w="4536"/>
          </w:tcPr>
          <w:p>
            <w:r>
              <w:rPr>
                <w:rFonts w:ascii="Times New Roman" w:hAnsi="Times New Roman"/>
                <w:b/>
                <w:sz w:val="20"/>
              </w:rPr>
              <w:t>Reservierung</w:t>
            </w:r>
          </w:p>
        </w:tc>
      </w:tr>
      <w:tr>
        <w:tc>
          <w:tcPr>
            <w:tcW w:type="dxa" w:w="4536"/>
          </w:tcPr>
          <w:p>
            <w:r>
              <w:rPr>
                <w:rFonts w:ascii="Times New Roman" w:hAnsi="Times New Roman"/>
                <w:sz w:val="20"/>
              </w:rPr>
              <w:t>8 Prozent ESOP-Pool</w:t>
            </w:r>
          </w:p>
        </w:tc>
        <w:tc>
          <w:tcPr>
            <w:tcW w:type="dxa" w:w="4536"/>
          </w:tcPr>
          <w:p>
            <w:r>
              <w:rPr>
                <w:rFonts w:ascii="Times New Roman" w:hAnsi="Times New Roman"/>
                <w:sz w:val="20"/>
              </w:rPr>
              <w:t>nach Eintragung Pfaffenrode</w:t>
            </w:r>
          </w:p>
        </w:tc>
      </w:tr>
      <w:tr>
        <w:tc>
          <w:tcPr>
            <w:tcW w:type="dxa" w:w="4536"/>
          </w:tcPr>
          <w:p>
            <w:r>
              <w:rPr>
                <w:rFonts w:ascii="Times New Roman" w:hAnsi="Times New Roman"/>
                <w:sz w:val="20"/>
              </w:rPr>
              <w:t>davon Mira-Ausgleich</w:t>
            </w:r>
          </w:p>
        </w:tc>
        <w:tc>
          <w:tcPr>
            <w:tcW w:type="dxa" w:w="4536"/>
          </w:tcPr>
          <w:p>
            <w:r>
              <w:rPr>
                <w:rFonts w:ascii="Times New Roman" w:hAnsi="Times New Roman"/>
                <w:sz w:val="20"/>
              </w:rPr>
              <w:t>3 Prozent (4-Jahres-Vesting, Cliff 12 Monate)</w:t>
            </w:r>
          </w:p>
        </w:tc>
      </w:tr>
      <w:tr>
        <w:tc>
          <w:tcPr>
            <w:tcW w:type="dxa" w:w="4536"/>
          </w:tcPr>
          <w:p>
            <w:r>
              <w:rPr>
                <w:rFonts w:ascii="Times New Roman" w:hAnsi="Times New Roman"/>
                <w:sz w:val="20"/>
              </w:rPr>
              <w:t>davon offene Mitarbeiterntage</w:t>
            </w:r>
          </w:p>
        </w:tc>
        <w:tc>
          <w:tcPr>
            <w:tcW w:type="dxa" w:w="4536"/>
          </w:tcPr>
          <w:p>
            <w:r>
              <w:rPr>
                <w:rFonts w:ascii="Times New Roman" w:hAnsi="Times New Roman"/>
                <w:sz w:val="20"/>
              </w:rPr>
              <w:t>5 Prozent</w:t>
            </w:r>
          </w:p>
        </w:tc>
      </w:tr>
    </w:tbl>
    <w:p>
      <w:pPr>
        <w:jc w:val="left"/>
      </w:pPr>
      <w:r>
        <w:t>Der ESOP-Pool wird als virtueller Anteils-Pool aufgesetzt (VSOP), nicht als echte Geschäftsanteile, um die notariellen Kosten zu sparen. Auszahlung im Exit-Fall.</w:t>
      </w:r>
    </w:p>
    <w:p>
      <w:pPr>
        <w:pStyle w:val="Heading2"/>
      </w:pPr>
      <w:r>
        <w:rPr>
          <w:rFonts w:ascii="Times New Roman" w:hAnsi="Times New Roman"/>
        </w:rPr>
        <w:t>4. Vesting-Mechanik</w:t>
      </w:r>
    </w:p>
    <w:p>
      <w:pPr>
        <w:jc w:val="left"/>
      </w:pPr>
      <w:r>
        <w:t>Vesting nach Marktstandard: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Vesting-Laufzeit</w:t>
            </w:r>
          </w:p>
        </w:tc>
        <w:tc>
          <w:tcPr>
            <w:tcW w:type="dxa" w:w="4536"/>
          </w:tcPr>
          <w:p>
            <w:r>
              <w:rPr>
                <w:rFonts w:ascii="Times New Roman" w:hAnsi="Times New Roman"/>
                <w:sz w:val="20"/>
              </w:rPr>
              <w:t>48 Monate</w:t>
            </w:r>
          </w:p>
        </w:tc>
      </w:tr>
      <w:tr>
        <w:tc>
          <w:tcPr>
            <w:tcW w:type="dxa" w:w="4536"/>
          </w:tcPr>
          <w:p>
            <w:r>
              <w:rPr>
                <w:rFonts w:ascii="Times New Roman" w:hAnsi="Times New Roman"/>
                <w:sz w:val="20"/>
              </w:rPr>
              <w:t>Cliff</w:t>
            </w:r>
          </w:p>
        </w:tc>
        <w:tc>
          <w:tcPr>
            <w:tcW w:type="dxa" w:w="4536"/>
          </w:tcPr>
          <w:p>
            <w:r>
              <w:rPr>
                <w:rFonts w:ascii="Times New Roman" w:hAnsi="Times New Roman"/>
                <w:sz w:val="20"/>
              </w:rPr>
              <w:t>12 Monate</w:t>
            </w:r>
          </w:p>
        </w:tc>
      </w:tr>
      <w:tr>
        <w:tc>
          <w:tcPr>
            <w:tcW w:type="dxa" w:w="4536"/>
          </w:tcPr>
          <w:p>
            <w:r>
              <w:rPr>
                <w:rFonts w:ascii="Times New Roman" w:hAnsi="Times New Roman"/>
                <w:sz w:val="20"/>
              </w:rPr>
              <w:t>Frequenz nach Cliff</w:t>
            </w:r>
          </w:p>
        </w:tc>
        <w:tc>
          <w:tcPr>
            <w:tcW w:type="dxa" w:w="4536"/>
          </w:tcPr>
          <w:p>
            <w:r>
              <w:rPr>
                <w:rFonts w:ascii="Times New Roman" w:hAnsi="Times New Roman"/>
                <w:sz w:val="20"/>
              </w:rPr>
              <w:t>monatlich</w:t>
            </w:r>
          </w:p>
        </w:tc>
      </w:tr>
      <w:tr>
        <w:tc>
          <w:tcPr>
            <w:tcW w:type="dxa" w:w="4536"/>
          </w:tcPr>
          <w:p>
            <w:r>
              <w:rPr>
                <w:rFonts w:ascii="Times New Roman" w:hAnsi="Times New Roman"/>
                <w:sz w:val="20"/>
              </w:rPr>
              <w:t>Reverse Vesting</w:t>
            </w:r>
          </w:p>
        </w:tc>
        <w:tc>
          <w:tcPr>
            <w:tcW w:type="dxa" w:w="4536"/>
          </w:tcPr>
          <w:p>
            <w:r>
              <w:rPr>
                <w:rFonts w:ascii="Times New Roman" w:hAnsi="Times New Roman"/>
                <w:sz w:val="20"/>
              </w:rPr>
              <w:t>ja</w:t>
            </w:r>
          </w:p>
        </w:tc>
      </w:tr>
      <w:tr>
        <w:tc>
          <w:tcPr>
            <w:tcW w:type="dxa" w:w="4536"/>
          </w:tcPr>
          <w:p>
            <w:r>
              <w:rPr>
                <w:rFonts w:ascii="Times New Roman" w:hAnsi="Times New Roman"/>
                <w:sz w:val="20"/>
              </w:rPr>
              <w:t>Vesting-Beginn</w:t>
            </w:r>
          </w:p>
        </w:tc>
        <w:tc>
          <w:tcPr>
            <w:tcW w:type="dxa" w:w="4536"/>
          </w:tcPr>
          <w:p>
            <w:r>
              <w:rPr>
                <w:rFonts w:ascii="Times New Roman" w:hAnsi="Times New Roman"/>
                <w:sz w:val="20"/>
              </w:rPr>
              <w:t>Datum der Eintragung der Gesellschaft im Handelsregister</w:t>
            </w:r>
          </w:p>
        </w:tc>
      </w:tr>
    </w:tbl>
    <w:p>
      <w:pPr>
        <w:jc w:val="left"/>
      </w:pPr>
      <w:r>
        <w:t>Beispielrechnung für Jonas (9.000 EUR Nennbetrag):</w:t>
      </w:r>
    </w:p>
    <w:p>
      <w:pPr>
        <w:pStyle w:val="ListBullet"/>
      </w:pPr>
      <w:r>
        <w:t>Nach 0 bis 11 Monaten: 0 EUR vested. Bei Ausscheiden Rückgabe aller Anteile zum Nominalwert.</w:t>
      </w:r>
    </w:p>
    <w:p>
      <w:pPr>
        <w:pStyle w:val="ListBullet"/>
      </w:pPr>
      <w:r>
        <w:t>Nach 12 Monaten (Cliff): 25 Prozent vested, also 2.250 EUR Nennbetrag vested.</w:t>
      </w:r>
    </w:p>
    <w:p>
      <w:pPr>
        <w:pStyle w:val="ListBullet"/>
      </w:pPr>
      <w:r>
        <w:t>Nach 24 Monaten: 50 Prozent vested.</w:t>
      </w:r>
    </w:p>
    <w:p>
      <w:pPr>
        <w:pStyle w:val="ListBullet"/>
      </w:pPr>
      <w:r>
        <w:t>Nach 36 Monaten: 75 Prozent vested.</w:t>
      </w:r>
    </w:p>
    <w:p>
      <w:pPr>
        <w:pStyle w:val="ListBullet"/>
      </w:pPr>
      <w:r>
        <w:t>Nach 48 Monaten: 100 Prozent vested. Keine Rückgabepflicht mehr.</w:t>
      </w:r>
    </w:p>
    <w:p>
      <w:pPr>
        <w:pStyle w:val="Heading2"/>
      </w:pPr>
      <w:r>
        <w:rPr>
          <w:rFonts w:ascii="Times New Roman" w:hAnsi="Times New Roman"/>
        </w:rPr>
        <w:t>5. Good-Leaver / Bad-Leaver</w:t>
      </w:r>
    </w:p>
    <w:p>
      <w:pPr>
        <w:pStyle w:val="Heading3"/>
      </w:pPr>
      <w:r>
        <w:rPr>
          <w:rFonts w:ascii="Times New Roman" w:hAnsi="Times New Roman"/>
        </w:rPr>
        <w:t>Good-Leaver</w:t>
      </w:r>
    </w:p>
    <w:p>
      <w:pPr>
        <w:jc w:val="left"/>
      </w:pPr>
      <w:r>
        <w:t>Ein Gesellschafter scheidet als Good-Leaver aus, wenn die Beendigung beruht auf:</w:t>
      </w:r>
    </w:p>
    <w:p>
      <w:pPr>
        <w:pStyle w:val="ListBullet"/>
      </w:pPr>
      <w:r>
        <w:t>Tod oder Berufsunfähigkeit</w:t>
      </w:r>
    </w:p>
    <w:p>
      <w:pPr>
        <w:pStyle w:val="ListBullet"/>
      </w:pPr>
      <w:r>
        <w:t>Kündigung durch die Gesellschaft ohne wichtigen Grund (Paragraph 626 BGB)</w:t>
      </w:r>
    </w:p>
    <w:p>
      <w:pPr>
        <w:pStyle w:val="ListBullet"/>
      </w:pPr>
      <w:r>
        <w:t>Eigenkündigung wegen schwerer Krankheit nach ärztlichem Attest</w:t>
      </w:r>
    </w:p>
    <w:p>
      <w:pPr>
        <w:pStyle w:val="ListBullet"/>
      </w:pPr>
      <w:r>
        <w:t>einvernehmliche Beendigung mit Zustimmung der Mehrheit der anderen Gründer</w:t>
      </w:r>
    </w:p>
    <w:p>
      <w:pPr>
        <w:jc w:val="left"/>
      </w:pPr>
      <w:r>
        <w:t>Folge: Rückgabe der unvested Anteile zum Nominalwert. Vested Anteile bleiben beim ausscheidenden Gründer (oder den Erben).</w:t>
      </w:r>
    </w:p>
    <w:p>
      <w:pPr>
        <w:pStyle w:val="Heading3"/>
      </w:pPr>
      <w:r>
        <w:rPr>
          <w:rFonts w:ascii="Times New Roman" w:hAnsi="Times New Roman"/>
        </w:rPr>
        <w:t>Bad-Leaver</w:t>
      </w:r>
    </w:p>
    <w:p>
      <w:pPr>
        <w:jc w:val="left"/>
      </w:pPr>
      <w:r>
        <w:t>Ein Gesellschafter scheidet als Bad-Leaver aus bei:</w:t>
      </w:r>
    </w:p>
    <w:p>
      <w:pPr>
        <w:pStyle w:val="ListBullet"/>
      </w:pPr>
      <w:r>
        <w:t>schwerer Pflichtverletzung als Geschäftsführer (Paragraph 38 Absatz 2 GmbHG, wichtiger Grund)</w:t>
      </w:r>
    </w:p>
    <w:p>
      <w:pPr>
        <w:pStyle w:val="ListBullet"/>
      </w:pPr>
      <w:r>
        <w:t>Verstoß gegen Wettbewerbsverbot</w:t>
      </w:r>
    </w:p>
    <w:p>
      <w:pPr>
        <w:pStyle w:val="ListBullet"/>
      </w:pPr>
      <w:r>
        <w:t>Verstoß gegen Vertraulichkeitspflichten</w:t>
      </w:r>
    </w:p>
    <w:p>
      <w:pPr>
        <w:pStyle w:val="ListBullet"/>
      </w:pPr>
      <w:r>
        <w:t>strafrechtlicher Verurteilung wegen Vermögensdelikten gegen die Gesellschaft</w:t>
      </w:r>
    </w:p>
    <w:p>
      <w:pPr>
        <w:jc w:val="left"/>
      </w:pPr>
      <w:r>
        <w:t xml:space="preserve">Folge: Rückgabe </w:t>
      </w:r>
      <w:r>
        <w:rPr>
          <w:b/>
        </w:rPr>
        <w:t>aller</w:t>
      </w:r>
      <w:r>
        <w:t xml:space="preserve"> Anteile (vested und unvested) zum Nominalwert.</w:t>
      </w:r>
    </w:p>
    <w:p>
      <w:pPr>
        <w:pStyle w:val="Heading3"/>
      </w:pPr>
      <w:r>
        <w:rPr>
          <w:rFonts w:ascii="Times New Roman" w:hAnsi="Times New Roman"/>
        </w:rPr>
        <w:t>Intermediate Leaver (Verhandlungspunkt)</w:t>
      </w:r>
    </w:p>
    <w:p>
      <w:pPr>
        <w:jc w:val="left"/>
      </w:pPr>
      <w:r>
        <w:t>Pfaffenrode möchte einen Intermediate-Leaver-Fall ergänzen, in dem der ausscheidende Gründer 50 Prozent des Verkehrswerts der vested Anteile erhält. Aylin lehnt das ab. Endstand: kein Intermediate-Leaver-Fall.</w:t>
      </w:r>
    </w:p>
    <w:p>
      <w:pPr>
        <w:pStyle w:val="Heading2"/>
      </w:pPr>
      <w:r>
        <w:rPr>
          <w:rFonts w:ascii="Times New Roman" w:hAnsi="Times New Roman"/>
        </w:rPr>
        <w:t>6. Rückgabe-Mechanik</w:t>
      </w:r>
    </w:p>
    <w:p>
      <w:pPr>
        <w:jc w:val="left"/>
      </w:pPr>
      <w:r>
        <w:t>Die Rückgabe erfolgt über die Einziehungsklausel in der Satzung (siehe Punkt 7 im Notarbriefing). Auslösebeschluss durch die Gesellschafterversammlung ohne Mitwirkung des Betroffenen. Abfindung wie oben.</w:t>
      </w:r>
    </w:p>
    <w:p>
      <w:pPr>
        <w:pStyle w:val="Heading2"/>
      </w:pPr>
      <w:r>
        <w:rPr>
          <w:rFonts w:ascii="Times New Roman" w:hAnsi="Times New Roman"/>
        </w:rPr>
        <w:t>7. Stresspunkt: Aylin als Geschäftsführerin</w:t>
      </w:r>
    </w:p>
    <w:p>
      <w:pPr>
        <w:jc w:val="left"/>
      </w:pPr>
      <w:r>
        <w:t>Da Aylin Geschäftsführerin ist, kann sie nicht durch einfachen Beschluss ihrer Mitgesellschafter (Jonas und Mira) als Bad-Leaver eingestuft werden, ohne dass zuvor ein wichtiger Grund nach Paragraph 38 Absatz 2 GmbHG festgestellt wurde. Im Side-Letter wird daher festgelegt, dass die Feststellung eines Bad-Leaver-Falles bei der Geschäftsführerin einer Mehrheit von 75 Prozent (inklusive Pfaffenrode) bedarf und nur nach Anhörung und Stellungnahme der Betroffenen erfolgen darf.</w:t>
      </w:r>
    </w:p>
    <w:p>
      <w:pPr>
        <w:pStyle w:val="Heading2"/>
      </w:pPr>
      <w:r>
        <w:rPr>
          <w:rFonts w:ascii="Times New Roman" w:hAnsi="Times New Roman"/>
        </w:rPr>
        <w:t>8. Offene Punkte</w:t>
      </w:r>
    </w:p>
    <w:p>
      <w:pPr>
        <w:pStyle w:val="ListNumber"/>
      </w:pPr>
      <w:r>
        <w:t>Bewertungsmethode für Good-Leaver-Verkehrswert nach Ablauf des Cliffs: vereinbart wird "letzte Bewertung in einer Finanzierungsrunde" oder "DCF nach IDW S1 durch einen Sachverständigen, falls keine Finanzierungsrunde vorliegt". Verbindlich erst im Side-Letter.</w:t>
      </w:r>
    </w:p>
    <w:p>
      <w:pPr>
        <w:pStyle w:val="ListNumber"/>
      </w:pPr>
      <w:r>
        <w:t>Behandlung von ESOP-Berechtigten im Leaver-Fall: separate Regelung im VSOP-Vertrag, wird vor Closing fertiggestellt.</w:t>
      </w:r>
    </w:p>
    <w:p/>
    <w:p>
      <w:pPr>
        <w:jc w:val="left"/>
      </w:pPr>
      <w:r>
        <w:t>Berlin, 16.05.2026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