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Transparenzregister — wirtschaftlich Berechtigte der NeuroChain Labs GmbH</w:t>
      </w:r>
    </w:p>
    <w:p>
      <w:pPr>
        <w:pStyle w:val="Heading2"/>
      </w:pPr>
      <w:r>
        <w:rPr>
          <w:rFonts w:ascii="Times New Roman" w:hAnsi="Times New Roman"/>
        </w:rPr>
        <w:t>1. Rechtsgrundlage</w:t>
      </w:r>
    </w:p>
    <w:p>
      <w:pPr>
        <w:jc w:val="left"/>
      </w:pPr>
      <w:r>
        <w:t xml:space="preserve">Seit dem 01.08.2021 ist das deutsche Transparenzregister ein </w:t>
      </w:r>
      <w:r>
        <w:rPr>
          <w:b/>
        </w:rPr>
        <w:t>Vollregister</w:t>
      </w:r>
      <w:r>
        <w:t>. Alle juristischen Personen des Privatrechts und eingetragene Personengesellschaften müssen ihre wirtschaftlich Berechtigten dort melden, und zwar unabhängig davon, ob die Angaben bereits aus anderen Registern (Handelsregister, Vereinsregister, Gesellschafterliste) hervorgehen. Rechtsgrundlage: Paragraphen 18 bis 26 GwG (Geldwäschegesetz).</w:t>
      </w:r>
    </w:p>
    <w:p>
      <w:pPr>
        <w:pStyle w:val="Heading2"/>
      </w:pPr>
      <w:r>
        <w:rPr>
          <w:rFonts w:ascii="Times New Roman" w:hAnsi="Times New Roman"/>
        </w:rPr>
        <w:t>2. Wer ist wirtschaftlich Berechtigter?</w:t>
      </w:r>
    </w:p>
    <w:p>
      <w:pPr>
        <w:jc w:val="left"/>
      </w:pPr>
      <w:r>
        <w:t>Wirtschaftlich Berechtigter ist nach Paragraph 3 GwG jede natürliche Person, die:</w:t>
      </w:r>
    </w:p>
    <w:p>
      <w:pPr>
        <w:pStyle w:val="ListBullet"/>
      </w:pPr>
      <w:r>
        <w:t>mehr als 25 Prozent der Kapitalanteile hält</w:t>
      </w:r>
    </w:p>
    <w:p>
      <w:pPr>
        <w:pStyle w:val="ListBullet"/>
      </w:pPr>
      <w:r>
        <w:t>mehr als 25 Prozent der Stimmrechte kontrolliert</w:t>
      </w:r>
    </w:p>
    <w:p>
      <w:pPr>
        <w:pStyle w:val="ListBullet"/>
      </w:pPr>
      <w:r>
        <w:t>auf vergleichbare Weise Kontrolle ausübt (z.B. über Stimmbindungsverträge)</w:t>
      </w:r>
    </w:p>
    <w:p>
      <w:pPr>
        <w:jc w:val="left"/>
      </w:pPr>
      <w:r>
        <w:t xml:space="preserve">Lässt sich kein wirtschaftlich Berechtigter feststellen, gelten die gesetzlichen Vertreter, also bei der GmbH die Geschäftsführer, als </w:t>
      </w:r>
      <w:r>
        <w:rPr>
          <w:b/>
        </w:rPr>
        <w:t>wirtschaftlich Berechtigte nach Auffangregel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3. Wirtschaftlich Berechtigte der NeuroChain Labs GmbH</w:t>
      </w:r>
    </w:p>
    <w:p>
      <w:pPr>
        <w:pStyle w:val="Heading3"/>
      </w:pPr>
      <w:r>
        <w:rPr>
          <w:rFonts w:ascii="Times New Roman" w:hAnsi="Times New Roman"/>
        </w:rPr>
        <w:t>3.1 Vor Kapitalerhöhung Pfaffenrode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wirtschaftlich Berechtigt?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Aylin Soeren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(über 25 Prozent)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Jonas Kreutzberger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(über 25 Prozent)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 Holzbach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(über 25 Prozent)</w:t>
            </w:r>
          </w:p>
        </w:tc>
      </w:tr>
    </w:tbl>
    <w:p>
      <w:pPr>
        <w:jc w:val="left"/>
      </w:pPr>
      <w:r>
        <w:t>Alle drei Gründer sind wirtschaftlich Berechtigte.</w:t>
      </w:r>
    </w:p>
    <w:p>
      <w:pPr>
        <w:pStyle w:val="Heading3"/>
      </w:pPr>
      <w:r>
        <w:rPr>
          <w:rFonts w:ascii="Times New Roman" w:hAnsi="Times New Roman"/>
        </w:rPr>
        <w:t>3.2 Nach Kapitalerhöhung Pfaffenrode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wirtschaftlich Berechtigt?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Aylin Soeren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34,2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Jonas Kreutzberger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34,2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 Holzbach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26,6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Sebastian Pfaffenrode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(unter 25 Prozent)</w:t>
            </w:r>
          </w:p>
        </w:tc>
      </w:tr>
    </w:tbl>
    <w:p>
      <w:pPr>
        <w:jc w:val="left"/>
      </w:pPr>
      <w:r>
        <w:t xml:space="preserve">Pfaffenrode ist </w:t>
      </w:r>
      <w:r>
        <w:rPr>
          <w:b/>
        </w:rPr>
        <w:t>kein</w:t>
      </w:r>
      <w:r>
        <w:t xml:space="preserve"> wirtschaftlich Berechtigter, da seine Beteiligung unter 25 Prozent liegt und auch keine erweiterten Kontrollrechte hat, die ihm de facto Mehrheitskontrolle einräumen.</w:t>
      </w:r>
    </w:p>
    <w:p>
      <w:pPr>
        <w:pStyle w:val="Heading2"/>
      </w:pPr>
      <w:r>
        <w:rPr>
          <w:rFonts w:ascii="Times New Roman" w:hAnsi="Times New Roman"/>
        </w:rPr>
        <w:t>4. Side-Letter-Wirkung</w:t>
      </w:r>
    </w:p>
    <w:p>
      <w:pPr>
        <w:jc w:val="left"/>
      </w:pPr>
      <w:r>
        <w:t xml:space="preserve">Wichtig: Der Side-Letter mit Pfaffenrode enthält Veto-Rechte und Information Rights. Diese gehören geprüft, ob sie nicht doch einer </w:t>
      </w:r>
      <w:r>
        <w:rPr>
          <w:b/>
        </w:rPr>
        <w:t>vergleichbaren Kontrolle</w:t>
      </w:r>
      <w:r>
        <w:t xml:space="preserve"> im Sinne von Paragraph 3 Absatz 2 Nummer 3 GwG entsprechen. Nach BVA-Auslegungshinweisen (Bundesverwaltungsamt) führen pauschale Veto-Rechte allein noch nicht zu einer wirtschaftlichen Berechtigung. Erst wenn sie de facto Mehrheitskontrolle vermitteln (z.B. Veto auf alle operativen Entscheidungen), liegt eine wirtschaftliche Berechtigung vor.</w:t>
      </w:r>
    </w:p>
    <w:p>
      <w:pPr>
        <w:jc w:val="left"/>
      </w:pPr>
      <w:r>
        <w:t xml:space="preserve">In unserem Fall: Pfaffenrodes Veto bezieht sich auf strategische Beschlüsse (Satzungsänderung, Kapitalerhöhung, Verkauf wesentlicher Vermögenswerte). Operative Geschäftsentscheidungen sind nicht erfasst. Daher </w:t>
      </w:r>
      <w:r>
        <w:rPr>
          <w:b/>
        </w:rPr>
        <w:t>keine</w:t>
      </w:r>
      <w:r>
        <w:t xml:space="preserve"> wirtschaftliche Berechtigung Pfaffenrodes.</w:t>
      </w:r>
    </w:p>
    <w:p>
      <w:pPr>
        <w:jc w:val="left"/>
      </w:pPr>
      <w:r>
        <w:t>Dokumentation dieser Prüfung in einem Aktenvermerk wird aufgenommen.</w:t>
      </w:r>
    </w:p>
    <w:p>
      <w:pPr>
        <w:pStyle w:val="Heading2"/>
      </w:pPr>
      <w:r>
        <w:rPr>
          <w:rFonts w:ascii="Times New Roman" w:hAnsi="Times New Roman"/>
        </w:rPr>
        <w:t>5. Anmeldung</w:t>
      </w:r>
    </w:p>
    <w:p>
      <w:pPr>
        <w:jc w:val="left"/>
      </w:pPr>
      <w:r>
        <w:t>Die Meldung erfolgt über das Portal des Bundesanzeiger Verlags unter www.transparenzregister.de. Erforderliche Angaben:</w:t>
      </w:r>
    </w:p>
    <w:p>
      <w:pPr>
        <w:pStyle w:val="ListBullet"/>
      </w:pPr>
      <w:r>
        <w:t>Vor- und Nachname</w:t>
      </w:r>
    </w:p>
    <w:p>
      <w:pPr>
        <w:pStyle w:val="ListBullet"/>
      </w:pPr>
      <w:r>
        <w:t>Geburtsdatum</w:t>
      </w:r>
    </w:p>
    <w:p>
      <w:pPr>
        <w:pStyle w:val="ListBullet"/>
      </w:pPr>
      <w:r>
        <w:t>Wohnort</w:t>
      </w:r>
    </w:p>
    <w:p>
      <w:pPr>
        <w:pStyle w:val="ListBullet"/>
      </w:pPr>
      <w:r>
        <w:t>Art und Umfang des wirtschaftlichen Interesses</w:t>
      </w:r>
    </w:p>
    <w:p>
      <w:pPr>
        <w:pStyle w:val="ListBullet"/>
      </w:pPr>
      <w:r>
        <w:t>Staatsangehörigkeit</w:t>
      </w:r>
    </w:p>
    <w:p>
      <w:pPr>
        <w:jc w:val="left"/>
      </w:pPr>
      <w:r>
        <w:t>Frist: unverzüglich nach Eintragung im Handelsregister.</w:t>
      </w:r>
    </w:p>
    <w:p>
      <w:pPr>
        <w:pStyle w:val="Heading2"/>
      </w:pPr>
      <w:r>
        <w:rPr>
          <w:rFonts w:ascii="Times New Roman" w:hAnsi="Times New Roman"/>
        </w:rPr>
        <w:t>6. Verantwortlich</w:t>
      </w:r>
    </w:p>
    <w:p>
      <w:pPr>
        <w:jc w:val="left"/>
      </w:pPr>
      <w:r>
        <w:t>Geschäftsführerin Aylin Soeren ist verantwortlich für die Anmeldung. Sie kann Mira Holzbach mit der praktischen Durchführung beauftragen. Frist: spätestens zehn Werktage nach HR-Eintragung.</w:t>
      </w:r>
    </w:p>
    <w:p>
      <w:pPr>
        <w:pStyle w:val="Heading2"/>
      </w:pPr>
      <w:r>
        <w:rPr>
          <w:rFonts w:ascii="Times New Roman" w:hAnsi="Times New Roman"/>
        </w:rPr>
        <w:t>7. Sanktionen</w:t>
      </w:r>
    </w:p>
    <w:p>
      <w:pPr>
        <w:jc w:val="left"/>
      </w:pPr>
      <w:r>
        <w:t>Verstöße gegen die Mitteilungspflicht sind Ordnungswidrigkeiten nach Paragraph 56 GwG. Bußgelder:</w:t>
      </w:r>
    </w:p>
    <w:p>
      <w:pPr>
        <w:pStyle w:val="ListBullet"/>
      </w:pPr>
      <w:r>
        <w:t>bis 100.000 EUR bei einfachen Verstößen</w:t>
      </w:r>
    </w:p>
    <w:p>
      <w:pPr>
        <w:pStyle w:val="ListBullet"/>
      </w:pPr>
      <w:r>
        <w:t>bis 150.000 EUR bei schweren Verstößen</w:t>
      </w:r>
    </w:p>
    <w:p>
      <w:pPr>
        <w:pStyle w:val="ListBullet"/>
      </w:pPr>
      <w:r>
        <w:t>bis 1.000.000 EUR oder das Doppelte des wirtschaftlichen Vorteils bei schwerwiegenden, wiederholten oder systematischen Verstößen</w:t>
      </w:r>
    </w:p>
    <w:p>
      <w:pPr>
        <w:jc w:val="left"/>
      </w:pPr>
      <w:r>
        <w:t>Bei schweren Verstößen erfolgt eine bestandskräftige Bekanntmachung im Internet (sog. "Naming and Shaming").</w:t>
      </w:r>
    </w:p>
    <w:p>
      <w:pPr>
        <w:pStyle w:val="Heading2"/>
      </w:pPr>
      <w:r>
        <w:rPr>
          <w:rFonts w:ascii="Times New Roman" w:hAnsi="Times New Roman"/>
        </w:rPr>
        <w:t>8. Datenschutz</w:t>
      </w:r>
    </w:p>
    <w:p>
      <w:pPr>
        <w:jc w:val="left"/>
      </w:pPr>
      <w:r>
        <w:t xml:space="preserve">Die Angaben im Transparenzregister sind seit dem Sovim-Urteil des EuGH (C-37/20, 22.11.2022) </w:t>
      </w:r>
      <w:r>
        <w:rPr>
          <w:b/>
        </w:rPr>
        <w:t>nicht mehr</w:t>
      </w:r>
      <w:r>
        <w:t xml:space="preserve"> für die Öffentlichkeit frei einsehbar. Einsicht haben:</w:t>
      </w:r>
    </w:p>
    <w:p>
      <w:pPr>
        <w:pStyle w:val="ListBullet"/>
      </w:pPr>
      <w:r>
        <w:t>Behörden und Verpflichtete im Sinne des GwG</w:t>
      </w:r>
    </w:p>
    <w:p>
      <w:pPr>
        <w:pStyle w:val="ListBullet"/>
      </w:pPr>
      <w:r>
        <w:t>Personen mit berechtigtem Interesse (Prüfung im Einzelfall)</w:t>
      </w:r>
    </w:p>
    <w:p>
      <w:pPr>
        <w:jc w:val="left"/>
      </w:pPr>
      <w:r>
        <w:t>Frühere uneingeschränkte Einsehbarkeit war europarechtswidrig.</w:t>
      </w:r>
    </w:p>
    <w:p>
      <w:pPr>
        <w:pStyle w:val="Heading2"/>
      </w:pPr>
      <w:r>
        <w:rPr>
          <w:rFonts w:ascii="Times New Roman" w:hAnsi="Times New Roman"/>
        </w:rPr>
        <w:t>9. Aktualisierungspflichten</w:t>
      </w:r>
    </w:p>
    <w:p>
      <w:pPr>
        <w:jc w:val="left"/>
      </w:pPr>
      <w:r>
        <w:t>Änderungen sind ohne schuldhaftes Zögern, spätestens binnen vier Wochen, mitzuteilen. Folgende Ereignisse lösen Aktualisierungspflichten aus:</w:t>
      </w:r>
    </w:p>
    <w:p>
      <w:pPr>
        <w:pStyle w:val="ListBullet"/>
      </w:pPr>
      <w:r>
        <w:t>Anteilsänderungen</w:t>
      </w:r>
    </w:p>
    <w:p>
      <w:pPr>
        <w:pStyle w:val="ListBullet"/>
      </w:pPr>
      <w:r>
        <w:t>Wechsel der Geschäftsführung (für wirtschaftlich Berechtigte nach Auffangregel)</w:t>
      </w:r>
    </w:p>
    <w:p>
      <w:pPr>
        <w:pStyle w:val="ListBullet"/>
      </w:pPr>
      <w:r>
        <w:t>Namens- oder Wohnortwechsel</w:t>
      </w:r>
    </w:p>
    <w:p>
      <w:pPr>
        <w:pStyle w:val="ListBullet"/>
      </w:pPr>
      <w:r>
        <w:t>Kapitalerhöhungen, die die Beteiligungsverhältnisse verändern</w:t>
      </w:r>
    </w:p>
    <w:p>
      <w:pPr>
        <w:pStyle w:val="Heading2"/>
      </w:pPr>
      <w:r>
        <w:rPr>
          <w:rFonts w:ascii="Times New Roman" w:hAnsi="Times New Roman"/>
        </w:rPr>
        <w:t>10. Anlage Eintragungsformular (Auszug)</w:t>
      </w:r>
    </w:p>
    <w:p>
      <w:pPr>
        <w:jc w:val="left"/>
      </w:pPr>
      <w:r>
        <w:t>```</w:t>
      </w:r>
    </w:p>
    <w:p>
      <w:pPr>
        <w:jc w:val="left"/>
      </w:pPr>
      <w:r>
        <w:t>Wirtschaftlich Berechtigte/r 1</w:t>
      </w:r>
    </w:p>
    <w:p>
      <w:pPr>
        <w:jc w:val="left"/>
      </w:pPr>
      <w:r>
        <w:t>Vorname: Aylin</w:t>
      </w:r>
    </w:p>
    <w:p>
      <w:pPr>
        <w:jc w:val="left"/>
      </w:pPr>
      <w:r>
        <w:t>Nachname: Soeren</w:t>
      </w:r>
    </w:p>
    <w:p>
      <w:pPr>
        <w:jc w:val="left"/>
      </w:pPr>
      <w:r>
        <w:t>Akademischer Grad: Dr.</w:t>
      </w:r>
    </w:p>
    <w:p>
      <w:pPr>
        <w:jc w:val="left"/>
      </w:pPr>
      <w:r>
        <w:t>Geburtsdatum: 12.07.1987</w:t>
      </w:r>
    </w:p>
    <w:p>
      <w:pPr>
        <w:jc w:val="left"/>
      </w:pPr>
      <w:r>
        <w:t>Wohnort: 10119 Berlin</w:t>
      </w:r>
    </w:p>
    <w:p>
      <w:pPr>
        <w:jc w:val="left"/>
      </w:pPr>
      <w:r>
        <w:t>Staatsangehörigkeit: deutsch</w:t>
      </w:r>
    </w:p>
    <w:p>
      <w:pPr>
        <w:jc w:val="left"/>
      </w:pPr>
      <w:r>
        <w:t>Art des wirtschaftlichen Interesses: Kapitalanteil 36,0 Prozent (vor Kapitalerhöhung)</w:t>
      </w:r>
    </w:p>
    <w:p>
      <w:pPr>
        <w:jc w:val="left"/>
      </w:pPr>
      <w:r>
        <w:t>Wirtschaftlich Berechtigte/r 2</w:t>
      </w:r>
    </w:p>
    <w:p>
      <w:pPr>
        <w:jc w:val="left"/>
      </w:pPr>
      <w:r>
        <w:t>Vorname: Jonas</w:t>
      </w:r>
    </w:p>
    <w:p>
      <w:pPr>
        <w:jc w:val="left"/>
      </w:pPr>
      <w:r>
        <w:t>Nachname: Kreutzberger</w:t>
      </w:r>
    </w:p>
    <w:p>
      <w:pPr>
        <w:jc w:val="left"/>
      </w:pPr>
      <w:r>
        <w:t>...</w:t>
      </w:r>
    </w:p>
    <w:p>
      <w:pPr>
        <w:jc w:val="left"/>
      </w:pPr>
      <w:r>
        <w:t>Wirtschaftlich Berechtigte/r 3</w:t>
      </w:r>
    </w:p>
    <w:p>
      <w:pPr>
        <w:jc w:val="left"/>
      </w:pPr>
      <w:r>
        <w:t>Vorname: Mira</w:t>
      </w:r>
    </w:p>
    <w:p>
      <w:pPr>
        <w:jc w:val="left"/>
      </w:pPr>
      <w:r>
        <w:t>Nachname: Holzbach</w:t>
      </w:r>
    </w:p>
    <w:p>
      <w:pPr>
        <w:jc w:val="left"/>
      </w:pPr>
      <w:r>
        <w:t>...</w:t>
      </w:r>
    </w:p>
    <w:p>
      <w:pPr>
        <w:jc w:val="left"/>
      </w:pPr>
      <w:r>
        <w:t>```</w:t>
      </w:r>
    </w:p>
    <w:p>
      <w:pPr>
        <w:jc w:val="left"/>
      </w:pPr>
      <w:r>
        <w:t>Vollständig ausgefüllte Anlage liegt vor und wird unmittelbar nach HR-Eintragung übermittelt.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