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MiCAR, BaFin-Vorabklärung und KI-Verordnung — Compliance-Vorabbewertung</w:t>
      </w:r>
    </w:p>
    <w:p>
      <w:pPr>
        <w:pStyle w:val="Heading2"/>
      </w:pPr>
      <w:r>
        <w:rPr>
          <w:rFonts w:ascii="Times New Roman" w:hAnsi="Times New Roman"/>
        </w:rPr>
        <w:t>1. Ausgangslage</w:t>
      </w:r>
    </w:p>
    <w:p>
      <w:pPr>
        <w:jc w:val="left"/>
      </w:pPr>
      <w:r>
        <w:t>NeuroChain Labs entwickelt eine Plattform zur Orchestrierung von KI-Agenten und plant, Trainingsdaten und Rechenkapazität on-chain zu tokenisieren. Beides berührt mehrere Regulierungsebenen:</w:t>
      </w:r>
    </w:p>
    <w:p>
      <w:pPr>
        <w:pStyle w:val="ListBullet"/>
      </w:pPr>
      <w:r>
        <w:rPr>
          <w:b/>
        </w:rPr>
        <w:t>MiCAR</w:t>
      </w:r>
      <w:r>
        <w:t xml:space="preserve"> (Verordnung (EU) 2023/1114 über Märkte für Kryptowerte) — Anwendbar seit 30.12.2024 für Kryptowerte-Dienstleister und seit 30.06.2024 für stabile Werte.</w:t>
      </w:r>
    </w:p>
    <w:p>
      <w:pPr>
        <w:pStyle w:val="ListBullet"/>
      </w:pPr>
      <w:r>
        <w:rPr>
          <w:b/>
        </w:rPr>
        <w:t>KI-Verordnung</w:t>
      </w:r>
      <w:r>
        <w:t xml:space="preserve"> (Verordnung (EU) 2024/1689) — In Kraft getreten am 01.08.2024 mit gestaffelten Anwendungsterminen bis August 2027.</w:t>
      </w:r>
    </w:p>
    <w:p>
      <w:pPr>
        <w:pStyle w:val="ListBullet"/>
      </w:pPr>
      <w:r>
        <w:rPr>
          <w:b/>
        </w:rPr>
        <w:t>GwG</w:t>
      </w:r>
      <w:r>
        <w:t xml:space="preserve"> (Geldwäschegesetz) — Anwendung auf Kryptowerteanbieter.</w:t>
      </w:r>
    </w:p>
    <w:p>
      <w:pPr>
        <w:pStyle w:val="ListBullet"/>
      </w:pPr>
      <w:r>
        <w:rPr>
          <w:b/>
        </w:rPr>
        <w:t>WpHG / KWG</w:t>
      </w:r>
      <w:r>
        <w:t xml:space="preserve"> — Anwendung auf Wertpapiere und Bankgeschäfte, falls Token Wertpapiercharakter hat.</w:t>
      </w:r>
    </w:p>
    <w:p>
      <w:pPr>
        <w:pStyle w:val="Heading2"/>
      </w:pPr>
      <w:r>
        <w:rPr>
          <w:rFonts w:ascii="Times New Roman" w:hAnsi="Times New Roman"/>
        </w:rPr>
        <w:t>2. Token-Klassifizierung nach MiCAR</w:t>
      </w:r>
    </w:p>
    <w:p>
      <w:pPr>
        <w:jc w:val="left"/>
      </w:pPr>
      <w:r>
        <w:t>MiCAR unterscheidet drei Token-Kategorien: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Pflichten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Asset-Referenced Token (ART)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bezieht Wert von mehreren Werten oder Vermögensgegenständen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Zulassung, Reserveanforderungen, Whitepaper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E-Money Token (EMT)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bezieht Wert auf eine einzige Fiatwährung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E-Geld-Lizenz oder Banklizenz, Whitepaper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 Kryptowerte (Utility-Token, Sonstige)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ART, nicht EMT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Whitepaper, Anbieterregistrierung, weniger streng</w:t>
            </w:r>
          </w:p>
        </w:tc>
      </w:tr>
    </w:tbl>
    <w:p>
      <w:pPr>
        <w:jc w:val="left"/>
      </w:pPr>
      <w:r>
        <w:t xml:space="preserve">Unsere geplanten Token (Trainingsdaten-Token, Compute-Token) sind voraussichtlich </w:t>
      </w:r>
      <w:r>
        <w:rPr>
          <w:b/>
        </w:rPr>
        <w:t>sonstige Kryptowerte</w:t>
      </w:r>
      <w:r>
        <w:t xml:space="preserve"> (Utility-Token), da sie:</w:t>
      </w:r>
    </w:p>
    <w:p>
      <w:pPr>
        <w:pStyle w:val="ListBullet"/>
      </w:pPr>
      <w:r>
        <w:t>den Zugang zu einer Plattform-Funktion ermöglichen (Datennutzung, Rechenleistung)</w:t>
      </w:r>
    </w:p>
    <w:p>
      <w:pPr>
        <w:pStyle w:val="ListBullet"/>
      </w:pPr>
      <w:r>
        <w:t>keinen Stabilitätsanker zu Fiatwährungen haben</w:t>
      </w:r>
    </w:p>
    <w:p>
      <w:pPr>
        <w:pStyle w:val="ListBullet"/>
      </w:pPr>
      <w:r>
        <w:t>nicht als Anlageprodukt vermarktet werden</w:t>
      </w:r>
    </w:p>
    <w:p>
      <w:pPr>
        <w:jc w:val="left"/>
      </w:pPr>
      <w:r>
        <w:t>Voraussetzung: das Whitepaper nach Artikel 6 MiCAR muss vor öffentlichem Angebot erstellt, bei der BaFin notifiziert und veröffentlicht werden. Mindestinhalte:</w:t>
      </w:r>
    </w:p>
    <w:p>
      <w:pPr>
        <w:pStyle w:val="ListBullet"/>
      </w:pPr>
      <w:r>
        <w:t>Beschreibung des Emittenten</w:t>
      </w:r>
    </w:p>
    <w:p>
      <w:pPr>
        <w:pStyle w:val="ListBullet"/>
      </w:pPr>
      <w:r>
        <w:t>Beschreibung des Projekts und der Technologie</w:t>
      </w:r>
    </w:p>
    <w:p>
      <w:pPr>
        <w:pStyle w:val="ListBullet"/>
      </w:pPr>
      <w:r>
        <w:t>Risiken</w:t>
      </w:r>
    </w:p>
    <w:p>
      <w:pPr>
        <w:pStyle w:val="ListBullet"/>
      </w:pPr>
      <w:r>
        <w:t>Rechte und Pflichten der Token-Inhaber</w:t>
      </w:r>
    </w:p>
    <w:p>
      <w:pPr>
        <w:pStyle w:val="ListBullet"/>
      </w:pPr>
      <w:r>
        <w:t>Umweltauswirkungen (insbesondere Energieverbrauch des Konsensmechanismus)</w:t>
      </w:r>
    </w:p>
    <w:p>
      <w:pPr>
        <w:pStyle w:val="Heading2"/>
      </w:pPr>
      <w:r>
        <w:rPr>
          <w:rFonts w:ascii="Times New Roman" w:hAnsi="Times New Roman"/>
        </w:rPr>
        <w:t>3. CASP-Status (Crypto-Asset Service Provider)</w:t>
      </w:r>
    </w:p>
    <w:p>
      <w:pPr>
        <w:jc w:val="left"/>
      </w:pPr>
      <w:r>
        <w:t>Falls NeuroChain Labs neben der Emission auch Dienstleistungen wie:</w:t>
      </w:r>
    </w:p>
    <w:p>
      <w:pPr>
        <w:pStyle w:val="ListBullet"/>
      </w:pPr>
      <w:r>
        <w:t>Verwahrung von Kryptowerten für Dritte</w:t>
      </w:r>
    </w:p>
    <w:p>
      <w:pPr>
        <w:pStyle w:val="ListBullet"/>
      </w:pPr>
      <w:r>
        <w:t>Tausch von Kryptowerten gegen Fiat oder andere Kryptowerte</w:t>
      </w:r>
    </w:p>
    <w:p>
      <w:pPr>
        <w:pStyle w:val="ListBullet"/>
      </w:pPr>
      <w:r>
        <w:t>Betrieb einer Handelsplattform</w:t>
      </w:r>
    </w:p>
    <w:p>
      <w:pPr>
        <w:pStyle w:val="ListBullet"/>
      </w:pPr>
      <w:r>
        <w:t>Beratung zu Kryptowerten</w:t>
      </w:r>
    </w:p>
    <w:p>
      <w:pPr>
        <w:jc w:val="left"/>
      </w:pPr>
      <w:r>
        <w:t xml:space="preserve">erbringt, wird sie zum </w:t>
      </w:r>
      <w:r>
        <w:rPr>
          <w:b/>
        </w:rPr>
        <w:t>CASP</w:t>
      </w:r>
      <w:r>
        <w:t xml:space="preserve"> und braucht eine BaFin-Zulassung nach Artikel 59 MiCAR. Voraussetzungen:</w:t>
      </w:r>
    </w:p>
    <w:p>
      <w:pPr>
        <w:pStyle w:val="ListBullet"/>
      </w:pPr>
      <w:r>
        <w:t>Mindestkapital je nach Dienstleistung (50.000 EUR bis 150.000 EUR)</w:t>
      </w:r>
    </w:p>
    <w:p>
      <w:pPr>
        <w:pStyle w:val="ListBullet"/>
      </w:pPr>
      <w:r>
        <w:t>Geeignete Geschäftsleiter (Fit-and-Proper)</w:t>
      </w:r>
    </w:p>
    <w:p>
      <w:pPr>
        <w:pStyle w:val="ListBullet"/>
      </w:pPr>
      <w:r>
        <w:t>IT-Sicherheits- und Continuity-Konzepte</w:t>
      </w:r>
    </w:p>
    <w:p>
      <w:pPr>
        <w:pStyle w:val="ListBullet"/>
      </w:pPr>
      <w:r>
        <w:t>Geldwäschebeauftragter</w:t>
      </w:r>
    </w:p>
    <w:p>
      <w:pPr>
        <w:jc w:val="left"/>
      </w:pPr>
      <w:r>
        <w:t xml:space="preserve">Wir planen zunächst </w:t>
      </w:r>
      <w:r>
        <w:rPr>
          <w:b/>
        </w:rPr>
        <w:t>keine</w:t>
      </w:r>
      <w:r>
        <w:t xml:space="preserve"> CASP-Dienste, sondern nur die Emission von Utility-Token. Damit greift die einfache Anbieter-Notifizierung, kein CASP-Verfahren.</w:t>
      </w:r>
    </w:p>
    <w:p>
      <w:pPr>
        <w:pStyle w:val="Heading2"/>
      </w:pPr>
      <w:r>
        <w:rPr>
          <w:rFonts w:ascii="Times New Roman" w:hAnsi="Times New Roman"/>
        </w:rPr>
        <w:t>4. BaFin-Vorabklärung</w:t>
      </w:r>
    </w:p>
    <w:p>
      <w:pPr>
        <w:jc w:val="left"/>
      </w:pPr>
      <w:r>
        <w:t>Wir holen eine schriftliche BaFin-Vorabklärung ein, sobald die Token-Spezifikation konkreter ist. Dies geschieht voraussichtlich Q4 2026. Vorgehen:</w:t>
      </w:r>
    </w:p>
    <w:p>
      <w:pPr>
        <w:pStyle w:val="ListNumber"/>
      </w:pPr>
      <w:r>
        <w:t>Erstellung eines Token-Konzeptpapiers (Use Cases, Token-Mechanik, Rechte der Inhaber)</w:t>
      </w:r>
    </w:p>
    <w:p>
      <w:pPr>
        <w:pStyle w:val="ListNumber"/>
      </w:pPr>
      <w:r>
        <w:t>Anschreiben an BaFin, Referat Geldwäscheprävention und Kryptowerte-Aufsicht</w:t>
      </w:r>
    </w:p>
    <w:p>
      <w:pPr>
        <w:pStyle w:val="ListNumber"/>
      </w:pPr>
      <w:r>
        <w:t>Antwort innerhalb von ca. acht Wochen</w:t>
      </w:r>
    </w:p>
    <w:p>
      <w:pPr>
        <w:pStyle w:val="ListNumber"/>
      </w:pPr>
      <w:r>
        <w:t>Falls negative Einstufung (z.B. Wertpapier statt Utility), Anpassung der Token-Mechanik</w:t>
      </w:r>
    </w:p>
    <w:p>
      <w:pPr>
        <w:jc w:val="left"/>
      </w:pPr>
      <w:r>
        <w:t>Bis zum Vorliegen der Vorabklärung verzichten wir auf jede öffentliche Token-Emission. Geschäftsführerin Aylin trägt dafür die Verantwortung.</w:t>
      </w:r>
    </w:p>
    <w:p>
      <w:pPr>
        <w:pStyle w:val="Heading2"/>
      </w:pPr>
      <w:r>
        <w:rPr>
          <w:rFonts w:ascii="Times New Roman" w:hAnsi="Times New Roman"/>
        </w:rPr>
        <w:t>5. KI-Verordnung — Anwendbarkeit</w:t>
      </w:r>
    </w:p>
    <w:p>
      <w:pPr>
        <w:pStyle w:val="Heading3"/>
      </w:pPr>
      <w:r>
        <w:rPr>
          <w:rFonts w:ascii="Times New Roman" w:hAnsi="Times New Roman"/>
        </w:rPr>
        <w:t>5.1 Anwendungsbereich</w:t>
      </w:r>
    </w:p>
    <w:p>
      <w:pPr>
        <w:jc w:val="left"/>
      </w:pPr>
      <w:r>
        <w:t>Die KI-Verordnung unterscheidet vier Risikoklassen: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Klasse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Beispiele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Pflichten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verbotene Praktiken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Social Scoring, manipulative KI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Verbot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Hochrisiko-KI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 in kritischen Bereichen (z.B. Personal, Justiz)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Konformitätsbewertung, Risikomanagement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begrenztes 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Chatbots, Deepfakes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Transparenzpflichten Artikel 50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minimales 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Spielautomaten, Spamfilter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spezifischen Pflichten</w:t>
            </w:r>
          </w:p>
        </w:tc>
      </w:tr>
    </w:tbl>
    <w:p>
      <w:pPr>
        <w:jc w:val="left"/>
      </w:pPr>
      <w:r>
        <w:t>NeuroChain Labs entwickelt eine Plattform für KI-Agenten, die nicht im Hochrisikobereich (Anhang III) eingeordnet ist. Damit greifen:</w:t>
      </w:r>
    </w:p>
    <w:p>
      <w:pPr>
        <w:pStyle w:val="ListBullet"/>
      </w:pPr>
      <w:r>
        <w:t>Transparenzpflichten Artikel 50 KI-VO, insbesondere bei Interaktion mit Nutzern (Hinweis "Sie kommunizieren mit einer KI") und bei synthetisch erzeugten Inhalten (Wasserzeichen, Kennzeichnung).</w:t>
      </w:r>
    </w:p>
    <w:p>
      <w:pPr>
        <w:pStyle w:val="ListBullet"/>
      </w:pPr>
      <w:r>
        <w:t>allgemeine Sorgfaltspflichten</w:t>
      </w:r>
    </w:p>
    <w:p>
      <w:pPr>
        <w:pStyle w:val="Heading3"/>
      </w:pPr>
      <w:r>
        <w:rPr>
          <w:rFonts w:ascii="Times New Roman" w:hAnsi="Times New Roman"/>
        </w:rPr>
        <w:t>5.2 GPAI-Modelle</w:t>
      </w:r>
    </w:p>
    <w:p>
      <w:pPr>
        <w:jc w:val="left"/>
      </w:pPr>
      <w:r>
        <w:t>Wenn wir Allzweck-KI-Modelle (General Purpose AI Models, GPAI) entwickeln oder bereitstellen, greifen die GPAI-Pflichten nach Kapitel V KI-VO:</w:t>
      </w:r>
    </w:p>
    <w:p>
      <w:pPr>
        <w:pStyle w:val="ListBullet"/>
      </w:pPr>
      <w:r>
        <w:t>technische Dokumentation</w:t>
      </w:r>
    </w:p>
    <w:p>
      <w:pPr>
        <w:pStyle w:val="ListBullet"/>
      </w:pPr>
      <w:r>
        <w:t>Urheberrechts-Compliance bei Trainingsdaten</w:t>
      </w:r>
    </w:p>
    <w:p>
      <w:pPr>
        <w:pStyle w:val="ListBullet"/>
      </w:pPr>
      <w:r>
        <w:t>Zusammenfassung der Trainingsinhalte (öffentlich)</w:t>
      </w:r>
    </w:p>
    <w:p>
      <w:pPr>
        <w:jc w:val="left"/>
      </w:pPr>
      <w:r>
        <w:t xml:space="preserve">Wir planen, ein eigenes Modell zu trainieren. Sobald die Trainings-Compute-Schwelle (10^25 FLOPS für systemische Risiken) überschritten wird, greifen erweiterte Pflichten. Diese Schwelle erreichen wir in der Anfangsphase </w:t>
      </w:r>
      <w:r>
        <w:rPr>
          <w:b/>
        </w:rPr>
        <w:t>nicht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5.3 Anwendungsdaten und DSGVO</w:t>
      </w:r>
    </w:p>
    <w:p>
      <w:pPr>
        <w:jc w:val="left"/>
      </w:pPr>
      <w:r>
        <w:t>Trainingsdaten unterliegen der DSGVO, wenn sie personenbezogen sind. Wir nehmen folgende Maßnahmen vor:</w:t>
      </w:r>
    </w:p>
    <w:p>
      <w:pPr>
        <w:pStyle w:val="ListBullet"/>
      </w:pPr>
      <w:r>
        <w:t>Datenherkunft transparent dokumentieren</w:t>
      </w:r>
    </w:p>
    <w:p>
      <w:pPr>
        <w:pStyle w:val="ListBullet"/>
      </w:pPr>
      <w:r>
        <w:t>Rechtsgrundlage für die Verarbeitung benennen (Einwilligung oder berechtigtes Interesse)</w:t>
      </w:r>
    </w:p>
    <w:p>
      <w:pPr>
        <w:pStyle w:val="ListBullet"/>
      </w:pPr>
      <w:r>
        <w:t>Möglichkeit der Auskunft, Berichtigung und Löschung für Betroffene</w:t>
      </w:r>
    </w:p>
    <w:p>
      <w:pPr>
        <w:pStyle w:val="ListBullet"/>
      </w:pPr>
      <w:r>
        <w:t>bei sensiblen Daten (Artikel 9 DSGVO): zusätzliche Anforderungen, in der Regel ausdrückliche Einwilligung</w:t>
      </w:r>
    </w:p>
    <w:p>
      <w:pPr>
        <w:pStyle w:val="Heading2"/>
      </w:pPr>
      <w:r>
        <w:rPr>
          <w:rFonts w:ascii="Times New Roman" w:hAnsi="Times New Roman"/>
        </w:rPr>
        <w:t>6. Roadmap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Quartal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Q3/2026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Datenschutz-Verzeichnis, Datenschutzerklärung, AVV-Mustervorlagen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Q4/2026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BaFin-Vorabklärung für Token-Konzept einreichen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Q1/2027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Whitepaper nach MiCAR Artikel 6 erstellen (falls Token-Emission geplant)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Q2/2027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KI-Transparenz-Hinweise in Produkt einbauen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Q3/2027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KI-VO Anwendung vollständig (allgemeine Bestimmungen seit 02.02.2025, GPAI seit 02.08.2025, Hochrisiko ab 02.08.2026)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7. Risiko-Einschätzung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Auswirkung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BaFin stuft Token als Wertpapier 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 (WpPG-Prospektpflicht)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Vorabklärung vor Emission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KI-System fällt unter Hochrisiko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 (Konformitätsbewertung erforderlich)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Use Case bewusst halten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DSGVO-Verstoß bei Trainingsdaten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 (Bußgeld)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Datenherkunft prüfen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GwG-Pflichten bei Token-Geschäft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Geldwäschebeauftragter ab CASP-Start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Open-Source-Lizenzkonflikt im Repository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IP-Audit vor Closing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8. Verantwortlich</w:t>
      </w:r>
    </w:p>
    <w:p>
      <w:pPr>
        <w:pStyle w:val="ListBullet"/>
      </w:pPr>
      <w:r>
        <w:t>Aylin Soeren: Gesamtverantwortung, Kontakt BaFin und Datenschutzbehörden</w:t>
      </w:r>
    </w:p>
    <w:p>
      <w:pPr>
        <w:pStyle w:val="ListBullet"/>
      </w:pPr>
      <w:r>
        <w:t>Mira Holzbach: Datenschutz und Datenherkunft</w:t>
      </w:r>
    </w:p>
    <w:p>
      <w:pPr>
        <w:pStyle w:val="ListBullet"/>
      </w:pPr>
      <w:r>
        <w:t>Jonas Kreutzberger: technische Compliance, IT-Sicherheit, Energieverbrauch</w:t>
      </w:r>
    </w:p>
    <w:p>
      <w:pPr>
        <w:pStyle w:val="ListBullet"/>
      </w:pPr>
      <w:r>
        <w:t>externer Compliance-Berater wird ab Q4 2026 hinzugezogen</w:t>
      </w:r>
    </w:p>
    <w:p>
      <w:pPr>
        <w:pStyle w:val="Heading2"/>
      </w:pPr>
      <w:r>
        <w:rPr>
          <w:rFonts w:ascii="Times New Roman" w:hAnsi="Times New Roman"/>
        </w:rPr>
        <w:t>9. Fazit</w:t>
      </w:r>
    </w:p>
    <w:p>
      <w:pPr>
        <w:jc w:val="left"/>
      </w:pPr>
      <w:r>
        <w:t xml:space="preserve">NeuroChain Labs bewegt sich an der Schnittstelle dreier Regulierungsregime (Krypto, KI, Datenschutz). Eine vorausschauende, dokumentierte Compliance-Strategie ist Voraussetzung für jede Token-Emission. Bis zur BaFin-Vorabklärung und einem positiven Whitepaper-Check </w:t>
      </w:r>
      <w:r>
        <w:rPr>
          <w:b/>
        </w:rPr>
        <w:t>keine</w:t>
      </w:r>
      <w:r>
        <w:t xml:space="preserve"> öffentliche Token-Ausgabe. Bis dahin operiert die Gesellschaft als reines Softwareunternehmen.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