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Erste 100 Tage NeuroChain Labs GmbH — Plan und Verantwortlichkeiten</w:t>
      </w:r>
    </w:p>
    <w:p>
      <w:pPr>
        <w:jc w:val="left"/>
      </w:pPr>
      <w:r>
        <w:t>Ab dem Tag der Eintragung im Handelsregister, voraussichtlich Anfang Juni 2026, läuft die operative Phase. Dieser Plan setzt voraus, dass:</w:t>
      </w:r>
    </w:p>
    <w:p>
      <w:pPr>
        <w:pStyle w:val="ListBullet"/>
      </w:pPr>
      <w:r>
        <w:t>Beurkundung am 03.06.2026 stattfindet</w:t>
      </w:r>
    </w:p>
    <w:p>
      <w:pPr>
        <w:pStyle w:val="ListBullet"/>
      </w:pPr>
      <w:r>
        <w:t>Eintragung im Handelsregister voraussichtlich 17.06.2026 (ca. zwei Wochen)</w:t>
      </w:r>
    </w:p>
    <w:p>
      <w:pPr>
        <w:pStyle w:val="ListBullet"/>
      </w:pPr>
      <w:r>
        <w:t>Closing Pfaffenrode bis spätestens 31.07.2026</w:t>
      </w:r>
    </w:p>
    <w:p>
      <w:pPr>
        <w:jc w:val="left"/>
      </w:pPr>
      <w:r>
        <w:t>Die ersten 100 Tage ab Eintragung enden am 25.09.2026.</w:t>
      </w:r>
    </w:p>
    <w:p>
      <w:pPr>
        <w:pStyle w:val="Heading2"/>
      </w:pPr>
      <w:r>
        <w:rPr>
          <w:rFonts w:ascii="Times New Roman" w:hAnsi="Times New Roman"/>
        </w:rPr>
        <w:t>Phase 1 — Woche 1 bis 2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Handelsregisterauszug ziehen und an Bank, Versicherung, Vermieter senden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Gewerbeanmeldung Berlin-Mitte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Transparenzregister Eintragung wirtschaftlich Berechtigter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Geschäftsgirokonto auf neue Firmierung umstellen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Prokura für Mira beim Notar zur Anmeldung übergeben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IHK-Mitgliedschaft bestätigen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VBG-Anmeldung bestätigen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Fragebogen steuerliche Erfassung über ELSTER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Eichbaum / 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AVV-Vereinbarungen mit Cloud-Anbietern unterzeichnen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 Pfaffenrode vorbereiten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Phase 2 — Woche 3 bis 6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Kapitalerhöhung mit Pfaffenrode beurkunden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 / Vermeulen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Side-Letter unterzeichnen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 / Jonas / Mira / Pfaffenrode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IP-Assignment-Vereinbarungen aller drei Gründer unterzeichnen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Lizenzvertrag Domain und Repository unterzeichnen (Mira-Gesellschaft)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 / 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Datenschutzerklärung Website aktivieren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Buchhaltungssoftware einrichten (Lexware oder DATEV)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Eichbaum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Bankeinzugsermächtigungen für Daueraufträge (Cloud-Anbieter, Versicherungen)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Berufshaftpflichtversicherung abschließen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D&amp;O-Versicherung evaluieren (für Geschäftsführerhaftung)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MVP-Roadmap für Plattform finalisieren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Jonas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Phase 3 — Woche 7 bis 14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Cloud-Infrastruktur produktiv (AWS/Hetzner/Ionos)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Jonas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Closed-Beta-Nutzer onboarden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Marketing-Site live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GitHub-Organisation einrichten, Repositories umziehen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Jonas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Mitarbeiter einstellen (zwei Junior-Engineers ab Q3 2026 geplant)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Office-Lösung wählen (Hub fortführen oder Co-Working)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Pilotvereinbarung mit Forschungspartner abschließen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Vierteljähriges Reporting an Pfaffenrode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Stresspunkte</w:t>
      </w:r>
    </w:p>
    <w:p>
      <w:pPr>
        <w:pStyle w:val="Heading3"/>
      </w:pPr>
      <w:r>
        <w:rPr>
          <w:rFonts w:ascii="Times New Roman" w:hAnsi="Times New Roman"/>
        </w:rPr>
        <w:t>1. Kapitalerhöhung Pfaffenrode</w:t>
      </w:r>
    </w:p>
    <w:p>
      <w:pPr>
        <w:jc w:val="left"/>
      </w:pPr>
      <w:r>
        <w:t>Vor Closing müssen folgende Voraussetzungen erfüllt sein:</w:t>
      </w:r>
    </w:p>
    <w:p>
      <w:pPr>
        <w:pStyle w:val="ListBullet"/>
      </w:pPr>
      <w:r>
        <w:t>Eintragung der Gesellschaft im Handelsregister</w:t>
      </w:r>
    </w:p>
    <w:p>
      <w:pPr>
        <w:pStyle w:val="ListBullet"/>
      </w:pPr>
      <w:r>
        <w:t>IP-Assignments unterzeichnet</w:t>
      </w:r>
    </w:p>
    <w:p>
      <w:pPr>
        <w:pStyle w:val="ListBullet"/>
      </w:pPr>
      <w:r>
        <w:t>Lizenzvertrag unterzeichnet</w:t>
      </w:r>
    </w:p>
    <w:p>
      <w:pPr>
        <w:pStyle w:val="ListBullet"/>
      </w:pPr>
      <w:r>
        <w:t>Side-Letter final</w:t>
      </w:r>
    </w:p>
    <w:p>
      <w:pPr>
        <w:pStyle w:val="ListBullet"/>
      </w:pPr>
      <w:r>
        <w:t>Bestätigung Eichbaum, dass kein Sacheinlage-Problem</w:t>
      </w:r>
    </w:p>
    <w:p>
      <w:pPr>
        <w:jc w:val="left"/>
      </w:pPr>
      <w:r>
        <w:t>Falls eine dieser Bedingungen nicht erfüllt ist, verschiebt sich das Closing. Risiko: Pfaffenrode zieht zurück. Aylin pflegt wöchentlichen Kontakt.</w:t>
      </w:r>
    </w:p>
    <w:p>
      <w:pPr>
        <w:pStyle w:val="Heading3"/>
      </w:pPr>
      <w:r>
        <w:rPr>
          <w:rFonts w:ascii="Times New Roman" w:hAnsi="Times New Roman"/>
        </w:rPr>
        <w:t>2. IP-Assignments</w:t>
      </w:r>
    </w:p>
    <w:p>
      <w:pPr>
        <w:jc w:val="left"/>
      </w:pPr>
      <w:r>
        <w:t>Jeder Gründer überträgt sämtliche Arbeitsergebnisse seit Beginn der gemeinsamen Arbeit (faktisch ab Januar 2026) auf die Gesellschaft. Inhalt der Assignment-Vereinbarung:</w:t>
      </w:r>
    </w:p>
    <w:p>
      <w:pPr>
        <w:pStyle w:val="ListBullet"/>
      </w:pPr>
      <w:r>
        <w:t>Rechteübertragung umfassend, weltweit, unbeschränkt</w:t>
      </w:r>
    </w:p>
    <w:p>
      <w:pPr>
        <w:pStyle w:val="ListBullet"/>
      </w:pPr>
      <w:r>
        <w:t>Rückwirkende Übertragung für die Zeit vor Gründung</w:t>
      </w:r>
    </w:p>
    <w:p>
      <w:pPr>
        <w:pStyle w:val="ListBullet"/>
      </w:pPr>
      <w:r>
        <w:t>Verzicht auf Urheberbenennung (soweit zulässig)</w:t>
      </w:r>
    </w:p>
    <w:p>
      <w:pPr>
        <w:pStyle w:val="ListBullet"/>
      </w:pPr>
      <w:r>
        <w:t>Verzicht auf besondere Vergütung (über das Geschäftsführergehalt oder die Gesellschafterstellung hinaus)</w:t>
      </w:r>
    </w:p>
    <w:p>
      <w:pPr>
        <w:jc w:val="left"/>
      </w:pPr>
      <w:r>
        <w:t>Bei Mira ist ein zusätzlicher Verweis auf die Lizenzvereinbarung erforderlich, damit klar bleibt, was bei ihr verbleibt (Domain, alter Repo-Stand) und was übertragen wird (Beiträge ab Eintragung).</w:t>
      </w:r>
    </w:p>
    <w:p>
      <w:pPr>
        <w:pStyle w:val="Heading3"/>
      </w:pPr>
      <w:r>
        <w:rPr>
          <w:rFonts w:ascii="Times New Roman" w:hAnsi="Times New Roman"/>
        </w:rPr>
        <w:t>3. Datenschutz</w:t>
      </w:r>
    </w:p>
    <w:p>
      <w:pPr>
        <w:jc w:val="left"/>
      </w:pPr>
      <w:r>
        <w:t>Vor Live-Gang der Website und der Plattform:</w:t>
      </w:r>
    </w:p>
    <w:p>
      <w:pPr>
        <w:pStyle w:val="ListBullet"/>
      </w:pPr>
      <w:r>
        <w:t>Datenschutzerklärung</w:t>
      </w:r>
    </w:p>
    <w:p>
      <w:pPr>
        <w:pStyle w:val="ListBullet"/>
      </w:pPr>
      <w:r>
        <w:t>Cookie-Banner mit Consent Management Platform</w:t>
      </w:r>
    </w:p>
    <w:p>
      <w:pPr>
        <w:pStyle w:val="ListBullet"/>
      </w:pPr>
      <w:r>
        <w:t>AVV mit allen Datenverarbeitern</w:t>
      </w:r>
    </w:p>
    <w:p>
      <w:pPr>
        <w:pStyle w:val="ListBullet"/>
      </w:pPr>
      <w:r>
        <w:t>Verzeichnis von Verarbeitungstätigkeiten</w:t>
      </w:r>
    </w:p>
    <w:p>
      <w:pPr>
        <w:pStyle w:val="ListBullet"/>
      </w:pPr>
      <w:r>
        <w:t>ggf. Datenschutz-Folgenabschätzung (DSFA), wenn KI mit personenbezogenen Daten arbeitet</w:t>
      </w:r>
    </w:p>
    <w:p>
      <w:pPr>
        <w:pStyle w:val="Heading3"/>
      </w:pPr>
      <w:r>
        <w:rPr>
          <w:rFonts w:ascii="Times New Roman" w:hAnsi="Times New Roman"/>
        </w:rPr>
        <w:t>4. Bankkonto-Wechsel und SCHUFA</w:t>
      </w:r>
    </w:p>
    <w:p>
      <w:pPr>
        <w:jc w:val="left"/>
      </w:pPr>
      <w:r>
        <w:t>Beim Wechsel des Geschäftsgirokontos auf die endgültige Firmierung kann ein neuer SCHUFA-Score zugewiesen werden. In den ersten Monaten sind manche Vertragspartner zurückhaltend. Empfehlung: Verträge mit langen Laufzeiten erst nach Stabilisierung.</w:t>
      </w:r>
    </w:p>
    <w:p>
      <w:pPr>
        <w:pStyle w:val="Heading2"/>
      </w:pPr>
      <w:r>
        <w:rPr>
          <w:rFonts w:ascii="Times New Roman" w:hAnsi="Times New Roman"/>
        </w:rPr>
        <w:t>Meilensteine 100-Tage-Review</w:t>
      </w:r>
    </w:p>
    <w:p>
      <w:pPr>
        <w:jc w:val="left"/>
      </w:pPr>
      <w:r>
        <w:t>Am 25.09.2026 findet ein Review-Workshop statt: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Themenblock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Ergebnis-Erwartung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Cap Table und Side-Letter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finalisiert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 Pfaffenrode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Bank, Buchhaltung, Steuern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Plattform-Komponenten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 Test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 und KI-VO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grundlegende Setups produktiv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Pipeline für Pilotpartner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mindestens drei Leads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Seed-Runde Q2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Investorengespräche aufgesetzt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BaFin-Vorabklärung Token-Konzept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Konzeptpapier in Erstellung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Risiken in den ersten 100 Tagen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Closing-Verzug Pfaffenrode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Eskalation an Pfaffenrode, Alternativplan ohne Investment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Cashflow-Engpass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Investoreneinzahlung sichern, ggf. Brückendarlehen Gründer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Personal-Engpass technisches Team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Mitarbeiter oder Werkstudenten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Bürokratie-Verzug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 Hilfe (Steuerberater, Anwalt) bezahlen statt selbst machen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Datenschutzbehörde Berlin meldet sich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Verfahrensverzeichnis sofort bereitstellen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BaFin-Anfrage zu Geschäftsmodell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 kommunizieren, kein Token-Marketing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Schlusswort</w:t>
      </w:r>
    </w:p>
    <w:p>
      <w:pPr>
        <w:jc w:val="left"/>
      </w:pPr>
      <w:r>
        <w:t>Der Plan ist ambitioniert, aber realistisch. Wichtigster Erfolgsfaktor: konsequente Trennung zwischen rechtlicher Form und operativem Fortschritt. Wir bauen Produkt, sobald die Strukturen stehen. Wir bauen Strukturen, weil sie das Produkt absichern.</w:t>
      </w:r>
    </w:p>
    <w:p/>
    <w:p>
      <w:pPr>
        <w:jc w:val="left"/>
      </w:pPr>
      <w:r>
        <w:t>Berlin, 25.05.2026, abgestimmt zwischen Aylin, Jonas, Mira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