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Satzung der Roeschen Tech GmbH</w:t>
      </w:r>
    </w:p>
    <w:p>
      <w:pPr>
        <w:jc w:val="left"/>
      </w:pPr>
      <w:r>
        <w:rPr>
          <w:b/>
        </w:rPr>
        <w:t>Stand: 15.11.2025 — nach Series A</w:t>
      </w:r>
    </w:p>
    <w:p/>
    <w:p>
      <w:pPr>
        <w:pStyle w:val="Heading2"/>
      </w:pPr>
      <w:r>
        <w:rPr>
          <w:rFonts w:ascii="Times New Roman" w:hAnsi="Times New Roman"/>
        </w:rPr>
        <w:t>§ 1 Firma, Sitz, Geschäftsjahr</w:t>
      </w:r>
    </w:p>
    <w:p>
      <w:pPr>
        <w:jc w:val="left"/>
      </w:pPr>
      <w:r>
        <w:t>(1) Die Gesellschaft führt die Firma "</w:t>
      </w:r>
      <w:r>
        <w:rPr>
          <w:b/>
        </w:rPr>
        <w:t>Roeschen Tech GmbH</w:t>
      </w:r>
      <w:r>
        <w:t>".</w:t>
      </w:r>
    </w:p>
    <w:p>
      <w:pPr>
        <w:jc w:val="left"/>
      </w:pPr>
      <w:r>
        <w:t>(2) Sitz der Gesellschaft ist Berlin.</w:t>
      </w:r>
    </w:p>
    <w:p>
      <w:pPr>
        <w:jc w:val="left"/>
      </w:pPr>
      <w:r>
        <w:t>(3) Geschäftsjahr ist das Kalenderjahr. Das erste Geschäftsjahr ist ein Rumpfgeschäftsjahr und endet am 31. Dezember 2024.</w:t>
      </w:r>
    </w:p>
    <w:p/>
    <w:p>
      <w:pPr>
        <w:pStyle w:val="Heading2"/>
      </w:pPr>
      <w:r>
        <w:rPr>
          <w:rFonts w:ascii="Times New Roman" w:hAnsi="Times New Roman"/>
        </w:rPr>
        <w:t>§ 2 Gegenstand des Unternehmens</w:t>
      </w:r>
    </w:p>
    <w:p>
      <w:pPr>
        <w:jc w:val="left"/>
      </w:pPr>
      <w:r>
        <w:t>(1) Gegenstand des Unternehmens ist die Entwicklung, der Vertrieb und die Lizenzierung von Software-Produkten unter Einsatz von Methoden der Künstlichen Intelligenz, insbesondere im Bereich der Bild- und Sprach-Verarbeitung, sowie die Beratung und Schulung in diesen Bereichen.</w:t>
      </w:r>
    </w:p>
    <w:p>
      <w:pPr>
        <w:jc w:val="left"/>
      </w:pPr>
      <w:r>
        <w:t>(2) Die Gesellschaft kann andere Unternehmen gründen, sich an ihnen beteiligen, Zweigniederlassungen errichten und alle Geschäfte vornehmen, die diesem Unternehmensgegenstand förderlich sind.</w:t>
      </w:r>
    </w:p>
    <w:p/>
    <w:p>
      <w:pPr>
        <w:pStyle w:val="Heading2"/>
      </w:pPr>
      <w:r>
        <w:rPr>
          <w:rFonts w:ascii="Times New Roman" w:hAnsi="Times New Roman"/>
        </w:rPr>
        <w:t>§ 3 Stammkapital und Geschäftsanteile</w:t>
      </w:r>
    </w:p>
    <w:p>
      <w:pPr>
        <w:jc w:val="left"/>
      </w:pPr>
      <w:r>
        <w:t xml:space="preserve">(1) Das Stammkapital der Gesellschaft beträgt </w:t>
      </w:r>
      <w:r>
        <w:rPr>
          <w:b/>
        </w:rPr>
        <w:t>40.000,00 EUR</w:t>
      </w:r>
      <w:r>
        <w:t xml:space="preserve"> (in Worten: vierzigtausend Euro).</w:t>
      </w:r>
    </w:p>
    <w:p>
      <w:pPr>
        <w:jc w:val="left"/>
      </w:pPr>
      <w:r>
        <w:t>(2) Es ist eingeteilt in 40.000 Geschäftsanteile zu je 1,00 EUR Nennwert, gegliedert in folgende Klassen: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Klasse</w:t>
            </w:r>
          </w:p>
        </w:tc>
        <w:tc>
          <w:tcPr>
            <w:tcW w:type="dxa" w:w="2268"/>
          </w:tcPr>
          <w:p>
            <w:r>
              <w:rPr>
                <w:rFonts w:ascii="Times New Roman" w:hAnsi="Times New Roman"/>
                <w:b/>
                <w:sz w:val="20"/>
              </w:rPr>
              <w:t>Anteile</w:t>
            </w:r>
          </w:p>
        </w:tc>
        <w:tc>
          <w:tcPr>
            <w:tcW w:type="dxa" w:w="2268"/>
          </w:tcPr>
          <w:p>
            <w:r>
              <w:rPr>
                <w:rFonts w:ascii="Times New Roman" w:hAnsi="Times New Roman"/>
                <w:b/>
                <w:sz w:val="20"/>
              </w:rPr>
              <w:t>Nennwert</w:t>
            </w:r>
          </w:p>
        </w:tc>
        <w:tc>
          <w:tcPr>
            <w:tcW w:type="dxa" w:w="2268"/>
          </w:tcPr>
          <w:p>
            <w:r>
              <w:rPr>
                <w:rFonts w:ascii="Times New Roman" w:hAnsi="Times New Roman"/>
                <w:b/>
                <w:sz w:val="20"/>
              </w:rPr>
              <w:t>Bezeichnung</w:t>
            </w:r>
          </w:p>
        </w:tc>
      </w:tr>
      <w:tr>
        <w:tc>
          <w:tcPr>
            <w:tcW w:type="dxa" w:w="2268"/>
          </w:tcPr>
          <w:p>
            <w:r>
              <w:rPr>
                <w:rFonts w:ascii="Times New Roman" w:hAnsi="Times New Roman"/>
                <w:b/>
                <w:sz w:val="20"/>
              </w:rPr>
              <w:t>Class Common</w:t>
            </w:r>
          </w:p>
        </w:tc>
        <w:tc>
          <w:tcPr>
            <w:tcW w:type="dxa" w:w="2268"/>
          </w:tcPr>
          <w:p>
            <w:r>
              <w:rPr>
                <w:rFonts w:ascii="Times New Roman" w:hAnsi="Times New Roman"/>
                <w:sz w:val="20"/>
              </w:rPr>
              <w:t>30.000</w:t>
            </w:r>
          </w:p>
        </w:tc>
        <w:tc>
          <w:tcPr>
            <w:tcW w:type="dxa" w:w="2268"/>
          </w:tcPr>
          <w:p>
            <w:r>
              <w:rPr>
                <w:rFonts w:ascii="Times New Roman" w:hAnsi="Times New Roman"/>
                <w:sz w:val="20"/>
              </w:rPr>
              <w:t>30.000 EUR</w:t>
            </w:r>
          </w:p>
        </w:tc>
        <w:tc>
          <w:tcPr>
            <w:tcW w:type="dxa" w:w="2268"/>
          </w:tcPr>
          <w:p>
            <w:r>
              <w:rPr>
                <w:rFonts w:ascii="Times New Roman" w:hAnsi="Times New Roman"/>
                <w:sz w:val="20"/>
              </w:rPr>
              <w:t>Stammanteile der Gründer</w:t>
            </w:r>
          </w:p>
        </w:tc>
      </w:tr>
      <w:tr>
        <w:tc>
          <w:tcPr>
            <w:tcW w:type="dxa" w:w="2268"/>
          </w:tcPr>
          <w:p>
            <w:r>
              <w:rPr>
                <w:rFonts w:ascii="Times New Roman" w:hAnsi="Times New Roman"/>
                <w:b/>
                <w:sz w:val="20"/>
              </w:rPr>
              <w:t>Class B</w:t>
            </w:r>
          </w:p>
        </w:tc>
        <w:tc>
          <w:tcPr>
            <w:tcW w:type="dxa" w:w="2268"/>
          </w:tcPr>
          <w:p>
            <w:r>
              <w:rPr>
                <w:rFonts w:ascii="Times New Roman" w:hAnsi="Times New Roman"/>
                <w:sz w:val="20"/>
              </w:rPr>
              <w:t>10.000</w:t>
            </w:r>
          </w:p>
        </w:tc>
        <w:tc>
          <w:tcPr>
            <w:tcW w:type="dxa" w:w="2268"/>
          </w:tcPr>
          <w:p>
            <w:r>
              <w:rPr>
                <w:rFonts w:ascii="Times New Roman" w:hAnsi="Times New Roman"/>
                <w:sz w:val="20"/>
              </w:rPr>
              <w:t>10.000 EUR</w:t>
            </w:r>
          </w:p>
        </w:tc>
        <w:tc>
          <w:tcPr>
            <w:tcW w:type="dxa" w:w="2268"/>
          </w:tcPr>
          <w:p>
            <w:r>
              <w:rPr>
                <w:rFonts w:ascii="Times New Roman" w:hAnsi="Times New Roman"/>
                <w:sz w:val="20"/>
              </w:rPr>
              <w:t>Vorzugsanteile Series A</w:t>
            </w:r>
          </w:p>
        </w:tc>
      </w:tr>
    </w:tbl>
    <w:p>
      <w:pPr>
        <w:jc w:val="left"/>
      </w:pPr>
      <w:r>
        <w:t>(3) Vom Stammkapital halten: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Gesellschafter</w:t>
            </w:r>
          </w:p>
        </w:tc>
        <w:tc>
          <w:tcPr>
            <w:tcW w:type="dxa" w:w="2268"/>
          </w:tcPr>
          <w:p>
            <w:r>
              <w:rPr>
                <w:rFonts w:ascii="Times New Roman" w:hAnsi="Times New Roman"/>
                <w:b/>
                <w:sz w:val="20"/>
              </w:rPr>
              <w:t>Klasse</w:t>
            </w:r>
          </w:p>
        </w:tc>
        <w:tc>
          <w:tcPr>
            <w:tcW w:type="dxa" w:w="2268"/>
          </w:tcPr>
          <w:p>
            <w:r>
              <w:rPr>
                <w:rFonts w:ascii="Times New Roman" w:hAnsi="Times New Roman"/>
                <w:b/>
                <w:sz w:val="20"/>
              </w:rPr>
              <w:t>Anteile</w:t>
            </w:r>
          </w:p>
        </w:tc>
        <w:tc>
          <w:tcPr>
            <w:tcW w:type="dxa" w:w="2268"/>
          </w:tcPr>
          <w:p>
            <w:r>
              <w:rPr>
                <w:rFonts w:ascii="Times New Roman" w:hAnsi="Times New Roman"/>
                <w:b/>
                <w:sz w:val="20"/>
              </w:rPr>
              <w:t>%</w:t>
            </w:r>
          </w:p>
        </w:tc>
      </w:tr>
      <w:tr>
        <w:tc>
          <w:tcPr>
            <w:tcW w:type="dxa" w:w="2268"/>
          </w:tcPr>
          <w:p>
            <w:r>
              <w:rPr>
                <w:rFonts w:ascii="Times New Roman" w:hAnsi="Times New Roman"/>
                <w:sz w:val="20"/>
              </w:rPr>
              <w:t>Andrea Roesener</w:t>
            </w:r>
          </w:p>
        </w:tc>
        <w:tc>
          <w:tcPr>
            <w:tcW w:type="dxa" w:w="2268"/>
          </w:tcPr>
          <w:p>
            <w:r>
              <w:rPr>
                <w:rFonts w:ascii="Times New Roman" w:hAnsi="Times New Roman"/>
                <w:sz w:val="20"/>
              </w:rPr>
              <w:t>Common</w:t>
            </w:r>
          </w:p>
        </w:tc>
        <w:tc>
          <w:tcPr>
            <w:tcW w:type="dxa" w:w="2268"/>
          </w:tcPr>
          <w:p>
            <w:r>
              <w:rPr>
                <w:rFonts w:ascii="Times New Roman" w:hAnsi="Times New Roman"/>
                <w:sz w:val="20"/>
              </w:rPr>
              <w:t>12.000</w:t>
            </w:r>
          </w:p>
        </w:tc>
        <w:tc>
          <w:tcPr>
            <w:tcW w:type="dxa" w:w="2268"/>
          </w:tcPr>
          <w:p>
            <w:r>
              <w:rPr>
                <w:rFonts w:ascii="Times New Roman" w:hAnsi="Times New Roman"/>
                <w:sz w:val="20"/>
              </w:rPr>
              <w:t>30 %</w:t>
            </w:r>
          </w:p>
        </w:tc>
      </w:tr>
      <w:tr>
        <w:tc>
          <w:tcPr>
            <w:tcW w:type="dxa" w:w="2268"/>
          </w:tcPr>
          <w:p>
            <w:r>
              <w:rPr>
                <w:rFonts w:ascii="Times New Roman" w:hAnsi="Times New Roman"/>
                <w:sz w:val="20"/>
              </w:rPr>
              <w:t>Bert Schmid</w:t>
            </w:r>
          </w:p>
        </w:tc>
        <w:tc>
          <w:tcPr>
            <w:tcW w:type="dxa" w:w="2268"/>
          </w:tcPr>
          <w:p>
            <w:r>
              <w:rPr>
                <w:rFonts w:ascii="Times New Roman" w:hAnsi="Times New Roman"/>
                <w:sz w:val="20"/>
              </w:rPr>
              <w:t>Common</w:t>
            </w:r>
          </w:p>
        </w:tc>
        <w:tc>
          <w:tcPr>
            <w:tcW w:type="dxa" w:w="2268"/>
          </w:tcPr>
          <w:p>
            <w:r>
              <w:rPr>
                <w:rFonts w:ascii="Times New Roman" w:hAnsi="Times New Roman"/>
                <w:sz w:val="20"/>
              </w:rPr>
              <w:t>12.000</w:t>
            </w:r>
          </w:p>
        </w:tc>
        <w:tc>
          <w:tcPr>
            <w:tcW w:type="dxa" w:w="2268"/>
          </w:tcPr>
          <w:p>
            <w:r>
              <w:rPr>
                <w:rFonts w:ascii="Times New Roman" w:hAnsi="Times New Roman"/>
                <w:sz w:val="20"/>
              </w:rPr>
              <w:t>30 %</w:t>
            </w:r>
          </w:p>
        </w:tc>
      </w:tr>
      <w:tr>
        <w:tc>
          <w:tcPr>
            <w:tcW w:type="dxa" w:w="2268"/>
          </w:tcPr>
          <w:p>
            <w:r>
              <w:rPr>
                <w:rFonts w:ascii="Times New Roman" w:hAnsi="Times New Roman"/>
                <w:sz w:val="20"/>
              </w:rPr>
              <w:t>Christine Linnenbach</w:t>
            </w:r>
          </w:p>
        </w:tc>
        <w:tc>
          <w:tcPr>
            <w:tcW w:type="dxa" w:w="2268"/>
          </w:tcPr>
          <w:p>
            <w:r>
              <w:rPr>
                <w:rFonts w:ascii="Times New Roman" w:hAnsi="Times New Roman"/>
                <w:sz w:val="20"/>
              </w:rPr>
              <w:t>Common</w:t>
            </w:r>
          </w:p>
        </w:tc>
        <w:tc>
          <w:tcPr>
            <w:tcW w:type="dxa" w:w="2268"/>
          </w:tcPr>
          <w:p>
            <w:r>
              <w:rPr>
                <w:rFonts w:ascii="Times New Roman" w:hAnsi="Times New Roman"/>
                <w:sz w:val="20"/>
              </w:rPr>
              <w:t>6.000</w:t>
            </w:r>
          </w:p>
        </w:tc>
        <w:tc>
          <w:tcPr>
            <w:tcW w:type="dxa" w:w="2268"/>
          </w:tcPr>
          <w:p>
            <w:r>
              <w:rPr>
                <w:rFonts w:ascii="Times New Roman" w:hAnsi="Times New Roman"/>
                <w:sz w:val="20"/>
              </w:rPr>
              <w:t>15 %</w:t>
            </w:r>
          </w:p>
        </w:tc>
      </w:tr>
      <w:tr>
        <w:tc>
          <w:tcPr>
            <w:tcW w:type="dxa" w:w="2268"/>
          </w:tcPr>
          <w:p>
            <w:r>
              <w:rPr>
                <w:rFonts w:ascii="Times New Roman" w:hAnsi="Times New Roman"/>
                <w:sz w:val="20"/>
              </w:rPr>
              <w:t>Stahlauge Ventures AG</w:t>
            </w:r>
          </w:p>
        </w:tc>
        <w:tc>
          <w:tcPr>
            <w:tcW w:type="dxa" w:w="2268"/>
          </w:tcPr>
          <w:p>
            <w:r>
              <w:rPr>
                <w:rFonts w:ascii="Times New Roman" w:hAnsi="Times New Roman"/>
                <w:sz w:val="20"/>
              </w:rPr>
              <w:t>B</w:t>
            </w:r>
          </w:p>
        </w:tc>
        <w:tc>
          <w:tcPr>
            <w:tcW w:type="dxa" w:w="2268"/>
          </w:tcPr>
          <w:p>
            <w:r>
              <w:rPr>
                <w:rFonts w:ascii="Times New Roman" w:hAnsi="Times New Roman"/>
                <w:sz w:val="20"/>
              </w:rPr>
              <w:t>10.000</w:t>
            </w:r>
          </w:p>
        </w:tc>
        <w:tc>
          <w:tcPr>
            <w:tcW w:type="dxa" w:w="2268"/>
          </w:tcPr>
          <w:p>
            <w:r>
              <w:rPr>
                <w:rFonts w:ascii="Times New Roman" w:hAnsi="Times New Roman"/>
                <w:sz w:val="20"/>
              </w:rPr>
              <w:t>25 %</w:t>
            </w:r>
          </w:p>
        </w:tc>
      </w:tr>
    </w:tbl>
    <w:p>
      <w:pPr>
        <w:jc w:val="left"/>
      </w:pPr>
      <w:r>
        <w:t>(4) Die Stammeinlage ist von den Gesellschaftern in vollem Umfang in bar erbracht.</w:t>
      </w:r>
    </w:p>
    <w:p/>
    <w:p>
      <w:pPr>
        <w:pStyle w:val="Heading2"/>
      </w:pPr>
      <w:r>
        <w:rPr>
          <w:rFonts w:ascii="Times New Roman" w:hAnsi="Times New Roman"/>
        </w:rPr>
        <w:t>§ 4 Genehmigtes Kapital</w:t>
      </w:r>
    </w:p>
    <w:p>
      <w:pPr>
        <w:jc w:val="left"/>
      </w:pPr>
      <w:r>
        <w:t xml:space="preserve">(1) Die Geschäftsführer sind ermächtigt, das Stammkapital der Gesellschaft bis zum </w:t>
      </w:r>
      <w:r>
        <w:rPr>
          <w:b/>
        </w:rPr>
        <w:t>30.11.2030</w:t>
      </w:r>
      <w:r>
        <w:t xml:space="preserve"> um insgesamt bis zu </w:t>
      </w:r>
      <w:r>
        <w:rPr>
          <w:b/>
        </w:rPr>
        <w:t>20.000,00 EUR</w:t>
      </w:r>
      <w:r>
        <w:t xml:space="preserve"> (in Worten: zwanzigtausend Euro) durch Ausgabe neuer Geschäftsanteile gegen Bareinlage oder Sacheinlage zu erhöhen (genehmigtes Kapital).</w:t>
      </w:r>
    </w:p>
    <w:p>
      <w:pPr>
        <w:jc w:val="left"/>
      </w:pPr>
      <w:r>
        <w:t>(2) Die neuen Anteile können als Class Common, Class B oder Class C ausgegeben werden.</w:t>
      </w:r>
    </w:p>
    <w:p>
      <w:pPr>
        <w:jc w:val="left"/>
      </w:pPr>
      <w:r>
        <w:t>(3) Die Geschäftsführer sind ermächtigt, das Bezugsrecht der Gesellschafter mit Zustimmung der Gesellschafterversammlung mit einer Mehrheit von 75 % ganz oder teilweise auszuschliessen.</w:t>
      </w:r>
    </w:p>
    <w:p>
      <w:pPr>
        <w:jc w:val="left"/>
      </w:pPr>
      <w:r>
        <w:t>(4) Nähere Bedingungen jeder Ausgabe werden durch die Gesellschafterversammlung mit einfacher Mehrheit beschlossen.</w:t>
      </w:r>
    </w:p>
    <w:p/>
    <w:p>
      <w:pPr>
        <w:pStyle w:val="Heading2"/>
      </w:pPr>
      <w:r>
        <w:rPr>
          <w:rFonts w:ascii="Times New Roman" w:hAnsi="Times New Roman"/>
        </w:rPr>
        <w:t>§ 5 Sondervetorechte der Class B</w:t>
      </w:r>
    </w:p>
    <w:p>
      <w:pPr>
        <w:jc w:val="left"/>
      </w:pPr>
      <w:r>
        <w:t>(1) Folgende Beschlüsse bedürfen zusätzlich zu den allgemeinen Mehrheits-Erfordernissen der Zustimmung der Inhaberin der Class B mit einfacher Mehrheit der Class-B-Stimmen:</w:t>
      </w:r>
    </w:p>
    <w:p>
      <w:pPr>
        <w:jc w:val="left"/>
      </w:pPr>
      <w:r>
        <w:t>a) Änderung der Satzung,</w:t>
      </w:r>
    </w:p>
    <w:p>
      <w:pPr>
        <w:jc w:val="left"/>
      </w:pPr>
      <w:r>
        <w:t>b) Veraeusserung wesentlicher Aktiva (Schwelle: 25 % der Bilanzsumme),</w:t>
      </w:r>
    </w:p>
    <w:p>
      <w:pPr>
        <w:jc w:val="left"/>
      </w:pPr>
      <w:r>
        <w:t>c) Aufnahme weiterer Investoren mit Rechten, die den Class-B-Rechten gleichwertig oder überlegen sind,</w:t>
      </w:r>
    </w:p>
    <w:p>
      <w:pPr>
        <w:jc w:val="left"/>
      </w:pPr>
      <w:r>
        <w:t>d) Antrag auf Restrukturierungsverfahren nach StaRUG (Paragraf 31 StaRUG),</w:t>
      </w:r>
    </w:p>
    <w:p>
      <w:pPr>
        <w:jc w:val="left"/>
      </w:pPr>
      <w:r>
        <w:t>e) Antrag auf Eröffnung eines Insolvenzverfahrens (Paragraf 15a InsO bleibt unberührt — die GF-Antragspflicht bei Insolvenzreife entfällt nicht),</w:t>
      </w:r>
    </w:p>
    <w:p>
      <w:pPr>
        <w:jc w:val="left"/>
      </w:pPr>
      <w:r>
        <w:t>f) Auflösung der Gesellschaft.</w:t>
      </w:r>
    </w:p>
    <w:p>
      <w:pPr>
        <w:jc w:val="left"/>
      </w:pPr>
      <w:r>
        <w:t>(2) Das Sondervetorecht erlischt, wenn die Class-B-Anteilshöhe unter 10 % des Stammkapitals fällt.</w:t>
      </w:r>
    </w:p>
    <w:p/>
    <w:p>
      <w:pPr>
        <w:pStyle w:val="Heading2"/>
      </w:pPr>
      <w:r>
        <w:rPr>
          <w:rFonts w:ascii="Times New Roman" w:hAnsi="Times New Roman"/>
        </w:rPr>
        <w:t>§ 6 Liquidationsvorrang (Liquidation Preference)</w:t>
      </w:r>
    </w:p>
    <w:p>
      <w:pPr>
        <w:jc w:val="left"/>
      </w:pPr>
      <w:r>
        <w:t xml:space="preserve">(1) Bei Auflösung der Gesellschaft, beim Exit (Trade Sale, Asset Sale, Liquidation, IPO) erhalten zunächst die Inhaberin der Class B Anteile ihre </w:t>
      </w:r>
      <w:r>
        <w:rPr>
          <w:b/>
        </w:rPr>
        <w:t>Erstausgabe-Investment</w:t>
      </w:r>
      <w:r>
        <w:t xml:space="preserve"> multipliziert mit </w:t>
      </w:r>
      <w:r>
        <w:rPr>
          <w:b/>
        </w:rPr>
        <w:t>1,5</w:t>
      </w:r>
      <w:r>
        <w:t xml:space="preserve"> zurück (1,5x Liquidation Preference).</w:t>
      </w:r>
    </w:p>
    <w:p>
      <w:pPr>
        <w:jc w:val="left"/>
      </w:pPr>
      <w:r>
        <w:t>(2) Der nach Bedienung der Präferenz verbleibende Betrag wird auf alle Klassen anteilig (pro rata zur Anteilshöhe) verteilt.</w:t>
      </w:r>
    </w:p>
    <w:p>
      <w:pPr>
        <w:jc w:val="left"/>
      </w:pPr>
      <w:r>
        <w:t>(3) Die Inhaberin der Class B Anteile haben zusätzlich Anspruch auf anteilige Beteiligung am Restbetrag (participating Liquidation Preference).</w:t>
      </w:r>
    </w:p>
    <w:p/>
    <w:p>
      <w:pPr>
        <w:pStyle w:val="Heading2"/>
      </w:pPr>
      <w:r>
        <w:rPr>
          <w:rFonts w:ascii="Times New Roman" w:hAnsi="Times New Roman"/>
        </w:rPr>
        <w:t>§ 7 Anti-Dilution-Schutz</w:t>
      </w:r>
    </w:p>
    <w:p>
      <w:pPr>
        <w:jc w:val="left"/>
      </w:pPr>
      <w:r>
        <w:t xml:space="preserve">(1) Bei Kapitalerhöhungen unter Ausgabe neuer Anteile mit einem Ausgabepreis (Nennwert plus Aufgeld) </w:t>
      </w:r>
      <w:r>
        <w:rPr>
          <w:b/>
        </w:rPr>
        <w:t>unterhalb</w:t>
      </w:r>
      <w:r>
        <w:t xml:space="preserve"> des Class-B-Ausgabepreises (10 EUR pro Anteil) wird die Anzahl der Class B Anteile nach der </w:t>
      </w:r>
      <w:r>
        <w:rPr>
          <w:b/>
        </w:rPr>
        <w:t>weighted-average-broad-based</w:t>
      </w:r>
      <w:r>
        <w:t>-Methode angepasst.</w:t>
      </w:r>
    </w:p>
    <w:p>
      <w:pPr>
        <w:jc w:val="left"/>
      </w:pPr>
      <w:r>
        <w:t>(2) Die Anpassung erfolgt automatisch mit Eintragung der Kapitalerhöhung im Handelsregister.</w:t>
      </w:r>
    </w:p>
    <w:p/>
    <w:p>
      <w:pPr>
        <w:pStyle w:val="Heading2"/>
      </w:pPr>
      <w:r>
        <w:rPr>
          <w:rFonts w:ascii="Times New Roman" w:hAnsi="Times New Roman"/>
        </w:rPr>
        <w:t>§ 8 Geschäftsführung und Vertretung</w:t>
      </w:r>
    </w:p>
    <w:p>
      <w:pPr>
        <w:jc w:val="left"/>
      </w:pPr>
      <w:r>
        <w:t>(1) Die Gesellschaft hat einen oder mehrere Geschäftsführer. Hat sie nur einen Geschäftsführer, vertritt er die Gesellschaft allein. Hat sie mehrere Geschäftsführer, wird sie durch zwei Geschäftsführer gemeinschaftlich oder durch einen Geschäftsführer in Gemeinschaft mit einem Prokuristen vertreten.</w:t>
      </w:r>
    </w:p>
    <w:p>
      <w:pPr>
        <w:jc w:val="left"/>
      </w:pPr>
      <w:r>
        <w:t>(2) Den Geschäftsführern kann durch Gesellschafterbeschluss Einzelvertretungsmacht und Befreiung von den Beschränkungen des Paragraf 181 BGB erteilt werden.</w:t>
      </w:r>
    </w:p>
    <w:p>
      <w:pPr>
        <w:jc w:val="left"/>
      </w:pPr>
      <w:r>
        <w:t>(3) Die Geschäftsführer werden durch die Gesellschafterversammlung mit einfacher Mehrheit bestellt und abberufen.</w:t>
      </w:r>
    </w:p>
    <w:p/>
    <w:p>
      <w:pPr>
        <w:pStyle w:val="Heading2"/>
      </w:pPr>
      <w:r>
        <w:rPr>
          <w:rFonts w:ascii="Times New Roman" w:hAnsi="Times New Roman"/>
        </w:rPr>
        <w:t>§ 9 Vinkulierung</w:t>
      </w:r>
    </w:p>
    <w:p>
      <w:pPr>
        <w:jc w:val="left"/>
      </w:pPr>
      <w:r>
        <w:t>(1) Die Übertragung von Geschäftsanteilen, die Belastung mit Niessbrauch oder Pfandrecht sowie die Verfügung über Teile von Anteilen bedürfen zu ihrer Wirksamkeit der vorherigen Zustimmung der Gesellschafterversammlung mit einer Mehrheit von 75 % der abgegebenen Stimmen.</w:t>
      </w:r>
    </w:p>
    <w:p>
      <w:pPr>
        <w:jc w:val="left"/>
      </w:pPr>
      <w:r>
        <w:t>(2) Die Zustimmung wird nur erteilt, wenn der Erwerber dem aktuell geltenden Shareholder Agreement beitritt (Joinder Agreement).</w:t>
      </w:r>
    </w:p>
    <w:p/>
    <w:p>
      <w:pPr>
        <w:pStyle w:val="Heading2"/>
      </w:pPr>
      <w:r>
        <w:rPr>
          <w:rFonts w:ascii="Times New Roman" w:hAnsi="Times New Roman"/>
        </w:rPr>
        <w:t>§ 10 Einziehung</w:t>
      </w:r>
    </w:p>
    <w:p>
      <w:pPr>
        <w:jc w:val="left"/>
      </w:pPr>
      <w:r>
        <w:t>Die Einziehung von Geschäftsanteilen ist zulässig:</w:t>
      </w:r>
    </w:p>
    <w:p>
      <w:pPr>
        <w:jc w:val="left"/>
      </w:pPr>
      <w:r>
        <w:t>a) mit Zustimmung des betroffenen Gesellschafters,</w:t>
      </w:r>
    </w:p>
    <w:p>
      <w:pPr>
        <w:jc w:val="left"/>
      </w:pPr>
      <w:r>
        <w:t>b) ohne Zustimmung, wenn über sein Vermögen ein Insolvenzverfahren eröffnet wird oder dies mangels Masse abgelehnt wird,</w:t>
      </w:r>
    </w:p>
    <w:p>
      <w:pPr>
        <w:jc w:val="left"/>
      </w:pPr>
      <w:r>
        <w:t>c) ohne Zustimmung bei schwerer und wiederholter Pflichtverletzung trotz schriftlicher Abmahnung.</w:t>
      </w:r>
    </w:p>
    <w:p/>
    <w:p>
      <w:pPr>
        <w:pStyle w:val="Heading2"/>
      </w:pPr>
      <w:r>
        <w:rPr>
          <w:rFonts w:ascii="Times New Roman" w:hAnsi="Times New Roman"/>
        </w:rPr>
        <w:t>§ 11 Gesellschafterversammlung</w:t>
      </w:r>
    </w:p>
    <w:p>
      <w:pPr>
        <w:jc w:val="left"/>
      </w:pPr>
      <w:r>
        <w:t xml:space="preserve">(1) Die Gesellschafterversammlung wird durch die Geschäftsführer einberufen. Die Einladung erfolgt schriftlich (oder elektronisch nach gesonderter Zustimmung des Gesellschafters) unter Beifügung der Tagesordnung mit einer Frist von mindestens </w:t>
      </w:r>
      <w:r>
        <w:rPr>
          <w:b/>
        </w:rPr>
        <w:t>drei Wochen</w:t>
      </w:r>
      <w:r>
        <w:t xml:space="preserve"> zwischen Versand und Versammlungs-Termin.</w:t>
      </w:r>
    </w:p>
    <w:p>
      <w:pPr>
        <w:jc w:val="left"/>
      </w:pPr>
      <w:r>
        <w:t>(2) Bei besonderer Eilbedürftigkeit kann die Frist auf eine Woche verkürzt werden.</w:t>
      </w:r>
    </w:p>
    <w:p>
      <w:pPr>
        <w:jc w:val="left"/>
      </w:pPr>
      <w:r>
        <w:t>(3) Die Gesellschafterversammlung ist beschlussfähig, wenn mehr als die Hälfte des Stammkapitals vertreten ist.</w:t>
      </w:r>
    </w:p>
    <w:p>
      <w:pPr>
        <w:jc w:val="left"/>
      </w:pPr>
      <w:r>
        <w:t>(4) Beschlüsse werden mit einfacher Mehrheit der abgegebenen Stimmen gefasst, soweit Gesetz oder Satzung nicht etwas anderes vorsehen.</w:t>
      </w:r>
    </w:p>
    <w:p>
      <w:pPr>
        <w:jc w:val="left"/>
      </w:pPr>
      <w:r>
        <w:t>(5) Folgende Beschlüsse bedürfen einer Mehrheit von 75 % der abgegebenen Stimmen:</w:t>
      </w:r>
    </w:p>
    <w:p>
      <w:pPr>
        <w:jc w:val="left"/>
      </w:pPr>
      <w:r>
        <w:t>a) Satzungsaenderung,</w:t>
      </w:r>
    </w:p>
    <w:p>
      <w:pPr>
        <w:jc w:val="left"/>
      </w:pPr>
      <w:r>
        <w:t>b) Kapitalerhöhung und Kapitalherabsetzung,</w:t>
      </w:r>
    </w:p>
    <w:p>
      <w:pPr>
        <w:jc w:val="left"/>
      </w:pPr>
      <w:r>
        <w:t>c) Bezugsrechtsausschluss bei Kapitalerhöhung,</w:t>
      </w:r>
    </w:p>
    <w:p>
      <w:pPr>
        <w:jc w:val="left"/>
      </w:pPr>
      <w:r>
        <w:t>d) Auflösung der Gesellschaft.</w:t>
      </w:r>
    </w:p>
    <w:p/>
    <w:p>
      <w:pPr>
        <w:pStyle w:val="Heading2"/>
      </w:pPr>
      <w:r>
        <w:rPr>
          <w:rFonts w:ascii="Times New Roman" w:hAnsi="Times New Roman"/>
        </w:rPr>
        <w:t>§ 12 Geschäftsordnung und Beirat</w:t>
      </w:r>
    </w:p>
    <w:p>
      <w:pPr>
        <w:jc w:val="left"/>
      </w:pPr>
      <w:r>
        <w:t>(1) Die Gesellschaft hat einen Beirat. Er besteht aus 3 Mitgliedern.</w:t>
      </w:r>
    </w:p>
    <w:p>
      <w:pPr>
        <w:jc w:val="left"/>
      </w:pPr>
      <w:r>
        <w:t>(2) Die Mitglieder des Beirats werden von der Gesellschafterversammlung mit einfacher Mehrheit für eine Amtszeit von 2 Jahren bestellt. Erneut-Bestellung ist zulässig.</w:t>
      </w:r>
    </w:p>
    <w:p>
      <w:pPr>
        <w:jc w:val="left"/>
      </w:pPr>
      <w:r>
        <w:t>(3) Der Beirat hat folgende Aufgaben:</w:t>
      </w:r>
    </w:p>
    <w:p>
      <w:pPr>
        <w:jc w:val="left"/>
      </w:pPr>
      <w:r>
        <w:t>a) Beratung der Geschäftsführung in strategischen Fragen,</w:t>
      </w:r>
    </w:p>
    <w:p>
      <w:pPr>
        <w:jc w:val="left"/>
      </w:pPr>
      <w:r>
        <w:t>b) Pruefung des Jahresabschlusses vor Vorlage in der Gesellschafterversammlung,</w:t>
      </w:r>
    </w:p>
    <w:p>
      <w:pPr>
        <w:jc w:val="left"/>
      </w:pPr>
      <w:r>
        <w:t xml:space="preserve">c) </w:t>
      </w:r>
      <w:r>
        <w:rPr>
          <w:b/>
        </w:rPr>
        <w:t>Schlichtung bei Konflikten zwischen Gesellschaftern</w:t>
      </w:r>
      <w:r>
        <w:t xml:space="preserve"> vor Klageerhebung,</w:t>
      </w:r>
    </w:p>
    <w:p>
      <w:pPr>
        <w:jc w:val="left"/>
      </w:pPr>
      <w:r>
        <w:t>d) Empfehlungen zu Investitionen über 250.000 EUR.</w:t>
      </w:r>
    </w:p>
    <w:p>
      <w:pPr>
        <w:jc w:val="left"/>
      </w:pPr>
      <w:r>
        <w:t>(4) Die näheren Bestimmungen folgen aus der Beiratsordnung.</w:t>
      </w:r>
    </w:p>
    <w:p/>
    <w:p>
      <w:pPr>
        <w:pStyle w:val="Heading2"/>
      </w:pPr>
      <w:r>
        <w:rPr>
          <w:rFonts w:ascii="Times New Roman" w:hAnsi="Times New Roman"/>
        </w:rPr>
        <w:t>§ 13 Schlussbestimmungen</w:t>
      </w:r>
    </w:p>
    <w:p>
      <w:pPr>
        <w:jc w:val="left"/>
      </w:pPr>
      <w:r>
        <w:t>(1) Diese Satzung ist in deutscher Sprache verbindlich. Eine englische Übersetzung wird als Anlage geführt; bei Inkonsistenzen geht die deutsche Fassung vor.</w:t>
      </w:r>
    </w:p>
    <w:p>
      <w:pPr>
        <w:jc w:val="left"/>
      </w:pPr>
      <w:r>
        <w:t>(2) Bekanntmachungen der Gesellschaft erfolgen ausschliesslich im Bundesanzeiger.</w:t>
      </w:r>
    </w:p>
    <w:p>
      <w:pPr>
        <w:jc w:val="left"/>
      </w:pPr>
      <w:r>
        <w:t>(3) Änderungen dieser Satzung bedürfen einer Mehrheit von 75 % der abgegebenen Stimmen sowie der Zustimmung der Inhaberin der Class B gemäß § 5.</w:t>
      </w:r>
    </w:p>
    <w:p/>
    <w:p>
      <w:pPr>
        <w:jc w:val="left"/>
      </w:pPr>
      <w:r>
        <w:t>Berlin, den 15.11.2025</w:t>
      </w:r>
    </w:p>
    <w:p>
      <w:pPr>
        <w:jc w:val="left"/>
      </w:pPr>
      <w:r>
        <w:t>Gegründet beurkundet vor Notar Dr. Wolfgang Sturm, Berlin, Az. UR-Nr. 1245/2025</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