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Einladung zur ausserordentlichen Gesellschafterversammlung</w:t>
      </w:r>
    </w:p>
    <w:p>
      <w:pPr>
        <w:jc w:val="left"/>
      </w:pPr>
      <w:r>
        <w:rPr>
          <w:b/>
        </w:rPr>
        <w:t>Roeschen Tech GmbH</w:t>
      </w:r>
      <w:r>
        <w:t>, Berlin</w:t>
      </w:r>
    </w:p>
    <w:p>
      <w:pPr>
        <w:jc w:val="left"/>
      </w:pPr>
      <w:r>
        <w:t>Pappelallee 23, 10437 Berlin</w:t>
      </w:r>
    </w:p>
    <w:p>
      <w:pPr>
        <w:jc w:val="left"/>
      </w:pPr>
      <w:r>
        <w:t>HRB 245.678 B</w:t>
      </w:r>
    </w:p>
    <w:p/>
    <w:p>
      <w:pPr>
        <w:jc w:val="left"/>
      </w:pPr>
      <w:r>
        <w:t>Berlin, den 27. Mai 2026</w:t>
      </w:r>
    </w:p>
    <w:p>
      <w:pPr>
        <w:jc w:val="left"/>
      </w:pPr>
      <w:r>
        <w:t>An die Gesellschafter der Roeschen Tech GmbH:</w:t>
      </w:r>
    </w:p>
    <w:p>
      <w:pPr>
        <w:pStyle w:val="ListBullet"/>
      </w:pPr>
      <w:r>
        <w:t>Frau Andrea Roesener, Pappelallee 23, 10437 Berlin</w:t>
      </w:r>
    </w:p>
    <w:p>
      <w:pPr>
        <w:pStyle w:val="ListBullet"/>
      </w:pPr>
      <w:r>
        <w:t>Herrn Bert Schmid, Schoenhauser Allee 144, 10437 Berlin</w:t>
      </w:r>
    </w:p>
    <w:p>
      <w:pPr>
        <w:pStyle w:val="ListBullet"/>
      </w:pPr>
      <w:r>
        <w:t>Frau Christine Linnenbach, Greifswalder Strasse 78, 10405 Berlin</w:t>
      </w:r>
    </w:p>
    <w:p>
      <w:pPr>
        <w:pStyle w:val="ListBullet"/>
      </w:pPr>
      <w:r>
        <w:t>Stahlauge Ventures AG, Theatinerstrasse 15, 80333 Muenchen, vertreten durch Vorstand Dr. Felix Stahlauge</w:t>
      </w:r>
    </w:p>
    <w:p>
      <w:pPr>
        <w:jc w:val="left"/>
      </w:pPr>
      <w:r>
        <w:t>—</w:t>
      </w:r>
    </w:p>
    <w:p>
      <w:pPr>
        <w:pStyle w:val="Heading2"/>
      </w:pPr>
      <w:r>
        <w:rPr>
          <w:rFonts w:ascii="Times New Roman" w:hAnsi="Times New Roman"/>
        </w:rPr>
        <w:t>Einladung zur ausserordentlichen Gesellschafterversammlung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>hiermit lade ich Sie gemäß § 11 der Satzung der Roeschen Tech GmbH und Paragraf 49 GmbHG zur</w:t>
      </w:r>
    </w:p>
    <w:p>
      <w:pPr>
        <w:jc w:val="left"/>
      </w:pPr>
      <w:r>
        <w:rPr>
          <w:b/>
        </w:rPr>
        <w:t>ausserordentlichen Gesellschafterversammlung</w:t>
      </w:r>
    </w:p>
    <w:p>
      <w:pPr>
        <w:jc w:val="left"/>
      </w:pPr>
      <w:r>
        <w:t>am</w:t>
      </w:r>
    </w:p>
    <w:p>
      <w:pPr>
        <w:jc w:val="left"/>
      </w:pPr>
      <w:r>
        <w:rPr>
          <w:b/>
        </w:rPr>
        <w:t>Donnerstag, den 18. Juni 2026, 14:00 Uhr</w:t>
      </w:r>
    </w:p>
    <w:p>
      <w:pPr>
        <w:jc w:val="left"/>
      </w:pPr>
      <w:r>
        <w:rPr>
          <w:b/>
        </w:rPr>
        <w:t>Ort</w:t>
      </w:r>
      <w:r>
        <w:t>: Geschäftssitz der Gesellschaft, Pappelallee 23, 10437 Berlin, Konferenzraum 3. OG</w:t>
      </w:r>
    </w:p>
    <w:p>
      <w:pPr>
        <w:jc w:val="left"/>
      </w:pPr>
      <w:r>
        <w:t>ein.</w:t>
      </w:r>
    </w:p>
    <w:p/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Heading3"/>
      </w:pPr>
      <w:r>
        <w:rPr>
          <w:rFonts w:ascii="Times New Roman" w:hAnsi="Times New Roman"/>
        </w:rPr>
        <w:t>TOP 1 — Begruessung, Feststellung der Beschlussfähigkeit, Wahl des Versammlungsleiters und Schriftführers</w:t>
      </w:r>
    </w:p>
    <w:p>
      <w:pPr>
        <w:pStyle w:val="Heading3"/>
      </w:pPr>
      <w:r>
        <w:rPr>
          <w:rFonts w:ascii="Times New Roman" w:hAnsi="Times New Roman"/>
        </w:rPr>
        <w:t>TOP 2 — Bericht der Geschäftsführung über Investor-Verhandlungen</w:t>
      </w:r>
    </w:p>
    <w:p>
      <w:pPr>
        <w:jc w:val="left"/>
      </w:pPr>
      <w:r>
        <w:t>Bericht über die Series-B-Verhandlungen mit der Pi Mu Holding GmbH über eine Beteiligung mit Investment-Volumen 12.500.000 EUR auf Basis Pre-Money-Bewertung 38.500.000 EUR.</w:t>
      </w:r>
    </w:p>
    <w:p>
      <w:pPr>
        <w:pStyle w:val="Heading3"/>
      </w:pPr>
      <w:r>
        <w:rPr>
          <w:rFonts w:ascii="Times New Roman" w:hAnsi="Times New Roman"/>
        </w:rPr>
        <w:t>TOP 3 — Beschluss über die Kapitalerhöhung um 12.500 EUR mit Bezugsrechtsausschluss</w:t>
      </w:r>
    </w:p>
    <w:p>
      <w:pPr>
        <w:jc w:val="left"/>
      </w:pPr>
      <w:r>
        <w:rPr>
          <w:b/>
        </w:rPr>
        <w:t>Beschluss-Vorlage</w:t>
      </w:r>
      <w:r>
        <w:t>:</w:t>
      </w:r>
    </w:p>
    <w:p>
      <w:pPr>
        <w:jc w:val="left"/>
      </w:pPr>
      <w:r>
        <w:t>"Die Gesellschafterversammlung beschliesst:</w:t>
      </w:r>
    </w:p>
    <w:p>
      <w:pPr>
        <w:jc w:val="left"/>
      </w:pPr>
      <w:r>
        <w:t xml:space="preserve">a) Das Stammkapital der Gesellschaft wird gemäß § 4 der Satzung aus dem genehmigten Kapital um 12.500 EUR auf 51.000 EUR durch Ausgabe von 12.500 neuen Geschäftsanteilen der </w:t>
      </w:r>
      <w:r>
        <w:rPr>
          <w:b/>
        </w:rPr>
        <w:t>Class C</w:t>
      </w:r>
      <w:r>
        <w:t xml:space="preserve"> im Nennwert von je 1 EUR erhöht.</w:t>
      </w:r>
    </w:p>
    <w:p>
      <w:pPr>
        <w:jc w:val="left"/>
      </w:pPr>
      <w:r>
        <w:t xml:space="preserve">b) Das Bezugsrecht der bestehenden Gesellschafter wird gemäß Paragraf 55 IV GmbHG und § 4 (3) der Satzung </w:t>
      </w:r>
      <w:r>
        <w:rPr>
          <w:b/>
        </w:rPr>
        <w:t>vollständig ausgeschlossen</w:t>
      </w:r>
      <w:r>
        <w:t>.</w:t>
      </w:r>
    </w:p>
    <w:p>
      <w:pPr>
        <w:jc w:val="left"/>
      </w:pPr>
      <w:r>
        <w:t xml:space="preserve">c) Zur Übernahme der neuen Class-C-Anteile wird die </w:t>
      </w:r>
      <w:r>
        <w:rPr>
          <w:b/>
        </w:rPr>
        <w:t>Pi Mu Holding GmbH</w:t>
      </w:r>
      <w:r>
        <w:t xml:space="preserve"> (eingetragen im HR Frankfurt unter HRB 567.890) ermächtigt, gegen Bareinlage des Nennwerts plus Aufgeld i.H.v. </w:t>
      </w:r>
      <w:r>
        <w:rPr>
          <w:b/>
        </w:rPr>
        <w:t>999 EUR pro Anteil</w:t>
      </w:r>
      <w:r>
        <w:t xml:space="preserve"> (Gesamt-Aufgeld 12.487.500 EUR), zu zeichnen.</w:t>
      </w:r>
    </w:p>
    <w:p>
      <w:pPr>
        <w:jc w:val="left"/>
      </w:pPr>
      <w:r>
        <w:t>d) Die Class C Anteile werden mit folgenden Rechten ausgestattet:</w:t>
      </w:r>
    </w:p>
    <w:p>
      <w:pPr>
        <w:pStyle w:val="ListBullet"/>
      </w:pPr>
      <w:r>
        <w:t>1x non-participating Liquidation Preference</w:t>
      </w:r>
    </w:p>
    <w:p>
      <w:pPr>
        <w:pStyle w:val="ListBullet"/>
      </w:pPr>
      <w:r>
        <w:t>Stimmrecht 1:1</w:t>
      </w:r>
    </w:p>
    <w:p>
      <w:pPr>
        <w:pStyle w:val="ListBullet"/>
      </w:pPr>
      <w:r>
        <w:t>Anti-Dilution: broad-based weighted average</w:t>
      </w:r>
    </w:p>
    <w:p>
      <w:pPr>
        <w:pStyle w:val="ListBullet"/>
      </w:pPr>
      <w:r>
        <w:t>Sondervetorecht bei Änderung der Satzung</w:t>
      </w:r>
    </w:p>
    <w:p>
      <w:pPr>
        <w:pStyle w:val="ListBullet"/>
      </w:pPr>
      <w:r>
        <w:t>Sondervetorecht bei Aufnahme weiterer Investoren</w:t>
      </w:r>
    </w:p>
    <w:p>
      <w:pPr>
        <w:jc w:val="left"/>
      </w:pPr>
      <w:r>
        <w:t xml:space="preserve">e) Die näheren Bedingungen folgen aus dem </w:t>
      </w:r>
      <w:r>
        <w:rPr>
          <w:b/>
        </w:rPr>
        <w:t>Subscription Agreement</w:t>
      </w:r>
      <w:r>
        <w:t xml:space="preserve"> zwischen der Gesellschaft und Pi Mu Holding GmbH vom 25. Mai 2026 (Anlage zur Einladung).</w:t>
      </w:r>
    </w:p>
    <w:p>
      <w:pPr>
        <w:jc w:val="left"/>
      </w:pPr>
      <w:r>
        <w:rPr>
          <w:b/>
        </w:rPr>
        <w:t>Sachliche Rechtfertigung des Bezugsrechtsausschlusses (Paragraf 55 IV GmbHG iVm § 4 (3) der Satzung)</w:t>
      </w:r>
      <w:r>
        <w:t>:</w:t>
      </w:r>
    </w:p>
    <w:p>
      <w:pPr>
        <w:pStyle w:val="ListBullet"/>
      </w:pPr>
      <w:r>
        <w:t>Pi Mu Holding GmbH ist ein strategischer Investor mit Marktzugang in den Sektor "Industrielle KI-Anwendungen", in dem die Gesellschaft expandieren möchte.</w:t>
      </w:r>
    </w:p>
    <w:p>
      <w:pPr>
        <w:pStyle w:val="ListBullet"/>
      </w:pPr>
      <w:r>
        <w:t>Pi Mu Holding GmbH verfügt über ein Portfolio an Beteiligungen mit Synergien zum Geschäftsmodell der Gesellschaft.</w:t>
      </w:r>
    </w:p>
    <w:p>
      <w:pPr>
        <w:pStyle w:val="ListBullet"/>
      </w:pPr>
      <w:r>
        <w:t>Der Eintritt der Pi Mu Holding GmbH ist Voraussetzung für die Geschäftsentwicklung in Industrie-Märkten.</w:t>
      </w:r>
    </w:p>
    <w:p>
      <w:pPr>
        <w:pStyle w:val="ListBullet"/>
      </w:pPr>
      <w:r>
        <w:t>Die bestehenden Gesellschafter haben kein vergleichbares strategisches Engagement.</w:t>
      </w:r>
    </w:p>
    <w:p>
      <w:pPr>
        <w:pStyle w:val="ListBullet"/>
      </w:pPr>
      <w:r>
        <w:t>Die Verwaesserung der bestehenden Gesellschafter um 21,6 % (relativ) ist im Vergleich zur Series A (25 % Verwaesserung) angemessen.</w:t>
      </w:r>
    </w:p>
    <w:p>
      <w:pPr>
        <w:pStyle w:val="ListBullet"/>
      </w:pPr>
      <w:r>
        <w:t>Die Geschäftsführung hat alternative Finanzierungsformen geprüft (Bankkredit, weitere Bareinlagen der Gesellschafter); diese sind entweder nicht verfügbar oder unverhaeltnismaessig teuer."</w:t>
      </w:r>
    </w:p>
    <w:p>
      <w:pPr>
        <w:pStyle w:val="Heading3"/>
      </w:pPr>
      <w:r>
        <w:rPr>
          <w:rFonts w:ascii="Times New Roman" w:hAnsi="Times New Roman"/>
        </w:rPr>
        <w:t>TOP 4 — Beschluss zur Änderung der Geschäftsordnung der Geschäftsführung</w:t>
      </w:r>
    </w:p>
    <w:p>
      <w:pPr>
        <w:jc w:val="left"/>
      </w:pPr>
      <w:r>
        <w:t>Aktualisierung der Geschäftsordnung um die Berichtspflichten gegenüber Pi Mu Holding GmbH.</w:t>
      </w:r>
    </w:p>
    <w:p>
      <w:pPr>
        <w:pStyle w:val="Heading3"/>
      </w:pPr>
      <w:r>
        <w:rPr>
          <w:rFonts w:ascii="Times New Roman" w:hAnsi="Times New Roman"/>
        </w:rPr>
        <w:t>TOP 5 — Sonstiges</w:t>
      </w:r>
    </w:p>
    <w:p/>
    <w:p>
      <w:pPr>
        <w:pStyle w:val="Heading2"/>
      </w:pPr>
      <w:r>
        <w:rPr>
          <w:rFonts w:ascii="Times New Roman" w:hAnsi="Times New Roman"/>
        </w:rPr>
        <w:t>Beifügungen zur Einladung</w:t>
      </w:r>
    </w:p>
    <w:p>
      <w:pPr>
        <w:pStyle w:val="ListBullet"/>
      </w:pPr>
      <w:r>
        <w:t>Subscription Agreement Pi Mu Holding GmbH vom 25.05.2026 (Entwurf, Anlage 1)</w:t>
      </w:r>
    </w:p>
    <w:p>
      <w:pPr>
        <w:pStyle w:val="ListBullet"/>
      </w:pPr>
      <w:r>
        <w:t>Term Sheet mit Pi Mu Holding GmbH vom 03.05.2026 (Anlage 2)</w:t>
      </w:r>
    </w:p>
    <w:p>
      <w:pPr>
        <w:pStyle w:val="ListBullet"/>
      </w:pPr>
      <w:r>
        <w:t>Cap Table vor und nach der KE (Anlage 3)</w:t>
      </w:r>
    </w:p>
    <w:p>
      <w:pPr>
        <w:pStyle w:val="ListBullet"/>
      </w:pPr>
      <w:r>
        <w:t>Geänderte Geschäftsordnung der GF (Anlage 4)</w:t>
      </w:r>
    </w:p>
    <w:p/>
    <w:p>
      <w:pPr>
        <w:pStyle w:val="Heading2"/>
      </w:pPr>
      <w:r>
        <w:rPr>
          <w:rFonts w:ascii="Times New Roman" w:hAnsi="Times New Roman"/>
        </w:rPr>
        <w:t>Hinweis</w:t>
      </w:r>
    </w:p>
    <w:p>
      <w:pPr>
        <w:jc w:val="left"/>
      </w:pPr>
      <w:r>
        <w:t>Bei Verhinderung bitten wir um schriftliche Vertretungs-Vollmacht spätestens 48 Stunden vor dem Termin.</w:t>
      </w:r>
    </w:p>
    <w:p>
      <w:pPr>
        <w:jc w:val="left"/>
      </w:pPr>
      <w:r>
        <w:t>Mit freundlichen Gruessen</w:t>
      </w:r>
    </w:p>
    <w:p>
      <w:pPr>
        <w:jc w:val="left"/>
      </w:pPr>
      <w:r>
        <w:t>Andrea Roesener</w:t>
      </w:r>
    </w:p>
    <w:p>
      <w:pPr>
        <w:jc w:val="left"/>
      </w:pPr>
      <w:r>
        <w:t>Geschäftsführerin</w:t>
      </w:r>
    </w:p>
    <w:p>
      <w:pPr>
        <w:jc w:val="left"/>
      </w:pPr>
      <w:r>
        <w:t>—</w:t>
      </w:r>
    </w:p>
    <w:p>
      <w:pPr>
        <w:jc w:val="left"/>
      </w:pPr>
      <w:r>
        <w:t>Diese Einladung wurde versandt:</w:t>
      </w:r>
    </w:p>
    <w:p>
      <w:pPr>
        <w:pStyle w:val="ListBullet"/>
      </w:pPr>
      <w:r>
        <w:t>per beA an die Bevollmächtigten der Gesellschafter (Anwälte)</w:t>
      </w:r>
    </w:p>
    <w:p>
      <w:pPr>
        <w:pStyle w:val="ListBullet"/>
      </w:pPr>
      <w:r>
        <w:t>per Einschreiben mit Rückschein an alle Gesellschafter persönlich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