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PROTOKOLL der ausserordentlichen Gesellschafterversammlung</w:t>
      </w:r>
    </w:p>
    <w:p>
      <w:pPr>
        <w:jc w:val="left"/>
      </w:pPr>
      <w:r>
        <w:rPr>
          <w:b/>
        </w:rPr>
        <w:t>Roeschen Tech GmbH</w:t>
      </w:r>
    </w:p>
    <w:p>
      <w:pPr>
        <w:jc w:val="left"/>
      </w:pPr>
      <w:r>
        <w:rPr>
          <w:b/>
        </w:rPr>
        <w:t>Datum</w:t>
      </w:r>
      <w:r>
        <w:t>: Donnerstag, 18. Juni 2026</w:t>
      </w:r>
    </w:p>
    <w:p>
      <w:pPr>
        <w:jc w:val="left"/>
      </w:pPr>
      <w:r>
        <w:rPr>
          <w:b/>
        </w:rPr>
        <w:t>Beginn</w:t>
      </w:r>
      <w:r>
        <w:t>: 14:00 Uhr</w:t>
      </w:r>
    </w:p>
    <w:p>
      <w:pPr>
        <w:jc w:val="left"/>
      </w:pPr>
      <w:r>
        <w:rPr>
          <w:b/>
        </w:rPr>
        <w:t>Ende</w:t>
      </w:r>
      <w:r>
        <w:t>: 17:45 Uhr</w:t>
      </w:r>
    </w:p>
    <w:p>
      <w:pPr>
        <w:jc w:val="left"/>
      </w:pPr>
      <w:r>
        <w:rPr>
          <w:b/>
        </w:rPr>
        <w:t>Ort</w:t>
      </w:r>
      <w:r>
        <w:t>: Geschäftssitz der Gesellschaft, Pappelallee 23, 10437 Berlin</w:t>
      </w:r>
    </w:p>
    <w:p/>
    <w:p>
      <w:pPr>
        <w:pStyle w:val="Heading2"/>
      </w:pPr>
      <w:r>
        <w:rPr>
          <w:rFonts w:ascii="Times New Roman" w:hAnsi="Times New Roman"/>
        </w:rPr>
        <w:t>Anwesende und Stimmrechte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Gesellschafter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Anteile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Stimmen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Klasse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Andrea Roesener (anwesend, persönlich)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Bert Schmid (anwesend, persönlich)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Christine Linnenbach (anwesend, persönlich; mit Anwalt RA Dr. Meurer)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Common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Stahlauge Ventures AG (vertreten durch Vorstand Dr. Felix Stahlauge)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40.000</w:t>
            </w:r>
          </w:p>
        </w:tc>
        <w:tc>
          <w:tcPr>
            <w:tcW w:type="dxa" w:w="2268"/>
          </w:tcPr>
          <w:p/>
        </w:tc>
      </w:tr>
    </w:tbl>
    <w:p>
      <w:pPr>
        <w:jc w:val="left"/>
      </w:pPr>
      <w:r>
        <w:t>Stimmrechte gemäß § 11 (3) der Satzung: vertreten sind 100 % der Anteile -&gt; Beschlussfähigkeit gegeben.</w:t>
      </w:r>
    </w:p>
    <w:p/>
    <w:p>
      <w:pPr>
        <w:pStyle w:val="Heading2"/>
      </w:pPr>
      <w:r>
        <w:rPr>
          <w:rFonts w:ascii="Times New Roman" w:hAnsi="Times New Roman"/>
        </w:rPr>
        <w:t>TOP 1 — Begruessung, Beschlussfähigkeit, Wahl des Versammlungsleiters</w:t>
      </w:r>
    </w:p>
    <w:p>
      <w:pPr>
        <w:jc w:val="left"/>
      </w:pPr>
      <w:r>
        <w:t>Andrea Roesener eröffnet die Versammlung und stellt fest:</w:t>
      </w:r>
    </w:p>
    <w:p>
      <w:pPr>
        <w:pStyle w:val="ListBullet"/>
      </w:pPr>
      <w:r>
        <w:t>Die Einladung erfolgte fristgerecht (gemäß § 11 der Satzung mit 3 Wochen Frist) am 27. Mai 2026.</w:t>
      </w:r>
    </w:p>
    <w:p>
      <w:pPr>
        <w:pStyle w:val="ListBullet"/>
      </w:pPr>
      <w:r>
        <w:t>Alle Gesellschafter sind vertreten.</w:t>
      </w:r>
    </w:p>
    <w:p>
      <w:pPr>
        <w:pStyle w:val="ListBullet"/>
      </w:pPr>
      <w:r>
        <w:t>Die Versammlung ist beschlussfähig.</w:t>
      </w:r>
    </w:p>
    <w:p>
      <w:pPr>
        <w:pStyle w:val="Heading3"/>
      </w:pPr>
      <w:r>
        <w:rPr>
          <w:rFonts w:ascii="Times New Roman" w:hAnsi="Times New Roman"/>
        </w:rPr>
        <w:t>Wahl des Versammlungsleiters</w:t>
      </w:r>
    </w:p>
    <w:p>
      <w:pPr>
        <w:jc w:val="left"/>
      </w:pPr>
      <w:r>
        <w:rPr>
          <w:b/>
        </w:rPr>
        <w:t>Andrea Roesener</w:t>
      </w:r>
      <w:r>
        <w:t xml:space="preserve"> schlägt sich selbst als Versammlungsleiterin vor.</w:t>
      </w:r>
    </w:p>
    <w:p>
      <w:pPr>
        <w:jc w:val="left"/>
      </w:pPr>
      <w:r>
        <w:rPr>
          <w:b/>
        </w:rPr>
        <w:t>Christine Linnenbach</w:t>
      </w:r>
      <w:r>
        <w:t xml:space="preserve"> schlägt </w:t>
      </w:r>
      <w:r>
        <w:rPr>
          <w:b/>
        </w:rPr>
        <w:t>RA Dr. Meurer</w:t>
      </w:r>
      <w:r>
        <w:t xml:space="preserve"> als externen, neutralen Versammlungsleiter vor, mit Hinweis auf die anstehende strittige Beschlussfassung.</w:t>
      </w:r>
    </w:p>
    <w:p>
      <w:pPr>
        <w:jc w:val="left"/>
      </w:pPr>
      <w:r>
        <w:t>Diskussion: Stahlauge unterstützt Andrea Roesener; Bert Schmid auch.</w:t>
      </w:r>
    </w:p>
    <w:p>
      <w:pPr>
        <w:jc w:val="left"/>
      </w:pPr>
      <w:r>
        <w:t>Abstimmung Versammlungsleiter: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Vorschlag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Andrea Roesener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RA Dr. Meurer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Stimmen Andrea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Stimmen Bert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Stimmen Christine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Stimmen Stahlauge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34.000 (85 %)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6.000 (15 %)</w:t>
            </w:r>
          </w:p>
        </w:tc>
      </w:tr>
    </w:tbl>
    <w:p>
      <w:pPr>
        <w:jc w:val="left"/>
      </w:pPr>
      <w:r>
        <w:rPr>
          <w:b/>
        </w:rPr>
        <w:t>Beschluss</w:t>
      </w:r>
      <w:r>
        <w:t>: Andrea Roesener wird mit 85 % Mehrheit zur Versammlungsleiterin gewählt.</w:t>
      </w:r>
    </w:p>
    <w:p>
      <w:pPr>
        <w:jc w:val="left"/>
      </w:pPr>
      <w:r>
        <w:t xml:space="preserve">Christine erhebt </w:t>
      </w:r>
      <w:r>
        <w:rPr>
          <w:b/>
        </w:rPr>
        <w:t>Vorbehalt</w:t>
      </w:r>
      <w:r>
        <w:t xml:space="preserve"> gegen die Wahl, da die Versammlungsleiterin Mitprofiteur der zu beschliessenden Kapitalerhöhung ist (Verwaesserung Christine 21,6 %, kein eigener Vermögensschaden bei Andrea).</w:t>
      </w:r>
    </w:p>
    <w:p>
      <w:pPr>
        <w:jc w:val="left"/>
      </w:pPr>
      <w:r>
        <w:t>Schriftführer: Bert Schmid, einstimmig.</w:t>
      </w:r>
    </w:p>
    <w:p/>
    <w:p>
      <w:pPr>
        <w:pStyle w:val="Heading2"/>
      </w:pPr>
      <w:r>
        <w:rPr>
          <w:rFonts w:ascii="Times New Roman" w:hAnsi="Times New Roman"/>
        </w:rPr>
        <w:t>TOP 2 — Bericht der Geschäftsführung</w:t>
      </w:r>
    </w:p>
    <w:p>
      <w:pPr>
        <w:jc w:val="left"/>
      </w:pPr>
      <w:r>
        <w:t>Andrea berichtet über den Stand der Series-B-Verhandlungen mit Pi Mu Holding GmbH:</w:t>
      </w:r>
    </w:p>
    <w:p>
      <w:pPr>
        <w:pStyle w:val="ListBullet"/>
      </w:pPr>
      <w:r>
        <w:t>Pre-Money-Bewertung: 38,5 Mio. EUR (gegenüber 20 Mio. Series A vor 7 Monaten — also Steigerung um 92,5 %)</w:t>
      </w:r>
    </w:p>
    <w:p>
      <w:pPr>
        <w:pStyle w:val="ListBullet"/>
      </w:pPr>
      <w:r>
        <w:t>Investment-Volumen: 12,5 Mio. EUR</w:t>
      </w:r>
    </w:p>
    <w:p>
      <w:pPr>
        <w:pStyle w:val="ListBullet"/>
      </w:pPr>
      <w:r>
        <w:t>Liquidation Preference: 1x non-participating</w:t>
      </w:r>
    </w:p>
    <w:p>
      <w:pPr>
        <w:pStyle w:val="ListBullet"/>
      </w:pPr>
      <w:r>
        <w:t>Sondervetorechte: bei Änderung Satzung, Aufnahme weiterer Investoren</w:t>
      </w:r>
    </w:p>
    <w:p>
      <w:pPr>
        <w:pStyle w:val="ListBullet"/>
      </w:pPr>
      <w:r>
        <w:t>Strategische Beiträge: Markt-Zugang Industrie, technologische Synergien mit Portfolio</w:t>
      </w:r>
    </w:p>
    <w:p>
      <w:pPr>
        <w:jc w:val="left"/>
      </w:pPr>
      <w:r>
        <w:t xml:space="preserve">Christine kritisiert: "Pi Mu Holding hat </w:t>
      </w:r>
      <w:r>
        <w:rPr>
          <w:b/>
        </w:rPr>
        <w:t>keine</w:t>
      </w:r>
      <w:r>
        <w:t xml:space="preserve"> echten strategischen Beiträge. Das Portfolio von Pi Mu enthält nur Finanzinvestments, keine industriellen Beteiligungen. Der Vorwand "strategischer Investor" dient nur dazu, das Bezugsrecht der Minderheits-Gesellschafter auszuhebeln."</w:t>
      </w:r>
    </w:p>
    <w:p>
      <w:pPr>
        <w:jc w:val="left"/>
      </w:pPr>
      <w:r>
        <w:t>Diskussion: Andrea und Stahlauge widersprechen.</w:t>
      </w:r>
    </w:p>
    <w:p/>
    <w:p>
      <w:pPr>
        <w:pStyle w:val="Heading2"/>
      </w:pPr>
      <w:r>
        <w:rPr>
          <w:rFonts w:ascii="Times New Roman" w:hAnsi="Times New Roman"/>
        </w:rPr>
        <w:t>TOP 3 — Beschluss zur Kapitalerhöhung mit Bezugsrechtsausschluss</w:t>
      </w:r>
    </w:p>
    <w:p>
      <w:pPr>
        <w:jc w:val="left"/>
      </w:pPr>
      <w:r>
        <w:t>Beschluss-Vorlage gemäß Einladung wird vorgelesen.</w:t>
      </w:r>
    </w:p>
    <w:p>
      <w:pPr>
        <w:jc w:val="left"/>
      </w:pPr>
      <w:r>
        <w:t>Andrea erläutert die sachliche Rechtfertigung.</w:t>
      </w:r>
    </w:p>
    <w:p>
      <w:pPr>
        <w:jc w:val="left"/>
      </w:pPr>
      <w:r>
        <w:t xml:space="preserve">Christine erhebt folgende </w:t>
      </w:r>
      <w:r>
        <w:rPr>
          <w:b/>
        </w:rPr>
        <w:t>Einwendungen</w:t>
      </w:r>
      <w:r>
        <w:t>:</w:t>
      </w:r>
    </w:p>
    <w:p>
      <w:pPr>
        <w:pStyle w:val="ListNumber"/>
      </w:pPr>
      <w:r>
        <w:t>Die sachliche Rechtfertigung des Bezugsrechtsausschlusses ist nicht hinreichend dargetan. Pi Mu Holding ist Finanzinvestor, kein strategischer Investor.</w:t>
      </w:r>
    </w:p>
    <w:p>
      <w:pPr>
        <w:pStyle w:val="ListNumber"/>
      </w:pPr>
      <w:r>
        <w:t>Es wurde nicht versucht, eine anteilige Bezugsmöglichkeit der bestehenden Gesellschafter zu eröffnen.</w:t>
      </w:r>
    </w:p>
    <w:p>
      <w:pPr>
        <w:pStyle w:val="ListNumber"/>
      </w:pPr>
      <w:r>
        <w:t>Die Bewertung von 38,5 Mio. Pre-Money ist nicht durch ein unabhängiges Bewertungsgutachten unterlegt.</w:t>
      </w:r>
    </w:p>
    <w:p>
      <w:pPr>
        <w:pStyle w:val="ListNumber"/>
      </w:pPr>
      <w:r>
        <w:t>Christine erklärt ihre Bereitschaft, ihren anteiligen Bezugsanteil (15 % * 12,5 Mio. = ca. 1,875 Mio. EUR) durch Bareinlage zu erbringen, sofern sie 30 Tage Zeit erhält.</w:t>
      </w:r>
    </w:p>
    <w:p>
      <w:pPr>
        <w:jc w:val="left"/>
      </w:pPr>
      <w:r>
        <w:t>Andrea entgegnet, dass Christines Bezugs-Wille nicht innerhalb der Einladung-Frist substantiiert wurde und Pi Mu Holding auf vollständige Aufnahme der 12,5 Mio. besteht.</w:t>
      </w:r>
    </w:p>
    <w:p>
      <w:pPr>
        <w:pStyle w:val="Heading3"/>
      </w:pPr>
      <w:r>
        <w:rPr>
          <w:rFonts w:ascii="Times New Roman" w:hAnsi="Times New Roman"/>
        </w:rPr>
        <w:t>Abstimmung Beschluss zur Kapitalerhöhung</w:t>
      </w:r>
    </w:p>
    <w:p>
      <w:pPr>
        <w:jc w:val="left"/>
      </w:pPr>
      <w:r>
        <w:t>Andrea ruft die Abstimmung auf. Christine widerspricht und verlangt Vertagung.</w:t>
      </w:r>
    </w:p>
    <w:p>
      <w:pPr>
        <w:jc w:val="left"/>
      </w:pPr>
      <w:r>
        <w:t>Versammlungsleiterin Andrea Roesener stellt fest: keine Vertagung — Abstimmung wird durchgeführt.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Stimmen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contra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Enthaltung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Andrea Roesener (12.000 Common)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Bert Schmid (12.000 Common)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Christine Linnenbach (6.000 Common)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Stahlauge Ventures AG (10.000 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34.000 (85 %)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6.000 (15 %)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</w:tr>
    </w:tbl>
    <w:p>
      <w:pPr>
        <w:jc w:val="left"/>
      </w:pPr>
      <w:r>
        <w:t>Versammlungsleiterin Andrea Roesener stellt fest:</w:t>
      </w:r>
    </w:p>
    <w:p>
      <w:pPr>
        <w:jc w:val="left"/>
      </w:pPr>
      <w:r>
        <w:rPr>
          <w:b/>
        </w:rPr>
        <w:t>Beschluss gefasst</w:t>
      </w:r>
      <w:r>
        <w:t>: mit 85 % Mehrheit zustimmend.</w:t>
      </w:r>
    </w:p>
    <w:p>
      <w:pPr>
        <w:jc w:val="left"/>
      </w:pPr>
      <w:r>
        <w:t>Die nach § 11 (5) Satzung erforderliche 75 %-Mehrheit (für Kapitalerhöhung und Bezugsrechtsausschluss) ist überschritten.</w:t>
      </w:r>
    </w:p>
    <w:p>
      <w:pPr>
        <w:jc w:val="left"/>
      </w:pPr>
      <w:r>
        <w:t xml:space="preserve">Christine erhebt </w:t>
      </w:r>
      <w:r>
        <w:rPr>
          <w:b/>
        </w:rPr>
        <w:t>Anfechtungsvorbehalt</w:t>
      </w:r>
      <w:r>
        <w:t>:</w:t>
      </w:r>
    </w:p>
    <w:p>
      <w:pPr>
        <w:jc w:val="left"/>
      </w:pPr>
      <w:r>
        <w:t>"Ich erhebe hiermit Anfechtungsvorbehalt gegen den vorstehenden Beschluss und behalte mir vor, binnen Monatsfrist Anfechtungsklage zu erheben. Begründung:</w:t>
      </w:r>
    </w:p>
    <w:p>
      <w:pPr>
        <w:jc w:val="left"/>
      </w:pPr>
      <w:r>
        <w:t>a) Sachliche Rechtfertigung des Bezugsrechtsausschlusses fehlt (Paragraf 55 IV GmbHG, BGH-Linie Kali+Salz, BGHZ 71, 40).</w:t>
      </w:r>
    </w:p>
    <w:p>
      <w:pPr>
        <w:jc w:val="left"/>
      </w:pPr>
      <w:r>
        <w:t>b) Verstoss gegen die Treuepflicht der Mitgesellschafter (Paragraf 242 BGB).</w:t>
      </w:r>
    </w:p>
    <w:p>
      <w:pPr>
        <w:jc w:val="left"/>
      </w:pPr>
      <w:r>
        <w:t>c) Eine sachgerechte Anhörung Christines war durch die Versammlungsleiterin verhindert."</w:t>
      </w:r>
    </w:p>
    <w:p/>
    <w:p>
      <w:pPr>
        <w:pStyle w:val="Heading2"/>
      </w:pPr>
      <w:r>
        <w:rPr>
          <w:rFonts w:ascii="Times New Roman" w:hAnsi="Times New Roman"/>
        </w:rPr>
        <w:t>TOP 4 — Beschluss zur Änderung der Geschäftsordnung der Geschäftsführung</w:t>
      </w:r>
    </w:p>
    <w:p>
      <w:pPr>
        <w:jc w:val="left"/>
      </w:pPr>
      <w:r>
        <w:t>Aktualisierung um Berichtspflichten gegenüber Pi Mu.</w:t>
      </w:r>
    </w:p>
    <w:p>
      <w:pPr>
        <w:jc w:val="left"/>
      </w:pPr>
      <w:r>
        <w:rPr>
          <w:b/>
        </w:rPr>
        <w:t>Beschluss</w:t>
      </w:r>
      <w:r>
        <w:t>: einstimmig mit 100 % zustimmend.</w:t>
      </w:r>
    </w:p>
    <w:p/>
    <w:p>
      <w:pPr>
        <w:pStyle w:val="Heading2"/>
      </w:pPr>
      <w:r>
        <w:rPr>
          <w:rFonts w:ascii="Times New Roman" w:hAnsi="Times New Roman"/>
        </w:rPr>
        <w:t>TOP 5 — Sonstiges</w:t>
      </w:r>
    </w:p>
    <w:p>
      <w:pPr>
        <w:jc w:val="left"/>
      </w:pPr>
      <w:r>
        <w:t>Christine erklärt, dass sie die Versammlung unter Vorbehalt verlässt und die Beschlüsse anfechten wird.</w:t>
      </w:r>
    </w:p>
    <w:p/>
    <w:p>
      <w:pPr>
        <w:pStyle w:val="Heading2"/>
      </w:pPr>
      <w:r>
        <w:rPr>
          <w:rFonts w:ascii="Times New Roman" w:hAnsi="Times New Roman"/>
        </w:rPr>
        <w:t>Schluss der Versammlung</w:t>
      </w:r>
    </w:p>
    <w:p>
      <w:pPr>
        <w:jc w:val="left"/>
      </w:pPr>
      <w:r>
        <w:t>Ende: 17:45 Uhr</w:t>
      </w:r>
    </w:p>
    <w:p>
      <w:pPr>
        <w:jc w:val="left"/>
      </w:pPr>
      <w:r>
        <w:rPr>
          <w:b/>
        </w:rPr>
        <w:t>Versammlungsleiterin</w:t>
      </w:r>
      <w:r>
        <w:t>:    _______________</w:t>
      </w:r>
    </w:p>
    <w:p>
      <w:pPr>
        <w:jc w:val="left"/>
      </w:pPr>
      <w:r>
        <w:t>Andrea Roesener</w:t>
      </w:r>
    </w:p>
    <w:p>
      <w:pPr>
        <w:jc w:val="left"/>
      </w:pPr>
      <w:r>
        <w:rPr>
          <w:b/>
        </w:rPr>
        <w:t>Schriftführer</w:t>
      </w:r>
      <w:r>
        <w:t>:           _______________</w:t>
      </w:r>
    </w:p>
    <w:p>
      <w:pPr>
        <w:jc w:val="left"/>
      </w:pPr>
      <w:r>
        <w:t>Bert Schmid</w:t>
      </w:r>
    </w:p>
    <w:p/>
    <w:p>
      <w:pPr>
        <w:jc w:val="left"/>
      </w:pPr>
      <w:r>
        <w:rPr>
          <w:b/>
        </w:rPr>
        <w:t>Vermerk</w:t>
      </w:r>
      <w:r>
        <w:t xml:space="preserve">: Christine Linnenbach hat das Protokoll </w:t>
      </w:r>
      <w:r>
        <w:rPr>
          <w:b/>
        </w:rPr>
        <w:t>nicht</w:t>
      </w:r>
      <w:r>
        <w:t xml:space="preserve"> unterzeichnet und hat erklärt, dass sie das Protokoll für fehlerhaft hält (insbesondere bezüglich der angeblichen Sachverhalts-Darstellung zu Pi Mu). RA Dr. Meurer hat ein eigenes Notiz-Protokoll erstellt und kündigt rechtliche Schritte an.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