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Anfechtungsklage</w:t>
      </w:r>
    </w:p>
    <w:p>
      <w:pPr>
        <w:jc w:val="left"/>
      </w:pPr>
      <w:r>
        <w:rPr>
          <w:b/>
        </w:rPr>
        <w:t>Landgericht Berlin — Kammer für Handelssachen</w:t>
      </w:r>
    </w:p>
    <w:p>
      <w:pPr>
        <w:jc w:val="left"/>
      </w:pPr>
      <w:r>
        <w:rPr>
          <w:b/>
        </w:rPr>
        <w:t>Klägerin</w:t>
      </w:r>
      <w:r>
        <w:t>:</w:t>
      </w:r>
    </w:p>
    <w:p>
      <w:pPr>
        <w:jc w:val="left"/>
      </w:pPr>
      <w:r>
        <w:t>Christine Linnenbach</w:t>
      </w:r>
    </w:p>
    <w:p>
      <w:pPr>
        <w:jc w:val="left"/>
      </w:pPr>
      <w:r>
        <w:t>Greifswalder Strasse 78, 10405 Berlin</w:t>
      </w:r>
    </w:p>
    <w:p>
      <w:pPr>
        <w:jc w:val="left"/>
      </w:pPr>
      <w:r>
        <w:rPr>
          <w:b/>
        </w:rPr>
        <w:t>Prozessbevollmaechtigter</w:t>
      </w:r>
      <w:r>
        <w:t>:</w:t>
      </w:r>
    </w:p>
    <w:p>
      <w:pPr>
        <w:jc w:val="left"/>
      </w:pPr>
      <w:r>
        <w:t>RA Dr. Markus Meurer, Litzowufer 24, 10785 Berlin</w:t>
      </w:r>
    </w:p>
    <w:p>
      <w:pPr>
        <w:jc w:val="left"/>
      </w:pPr>
      <w:r>
        <w:rPr>
          <w:b/>
        </w:rPr>
        <w:t>Beklagte</w:t>
      </w:r>
      <w:r>
        <w:t>:</w:t>
      </w:r>
    </w:p>
    <w:p>
      <w:pPr>
        <w:jc w:val="left"/>
      </w:pPr>
      <w:r>
        <w:t>Roeschen Tech GmbH</w:t>
      </w:r>
    </w:p>
    <w:p>
      <w:pPr>
        <w:jc w:val="left"/>
      </w:pPr>
      <w:r>
        <w:t>Pappelallee 23, 10437 Berlin</w:t>
      </w:r>
    </w:p>
    <w:p>
      <w:pPr>
        <w:jc w:val="left"/>
      </w:pPr>
      <w:r>
        <w:t>HRB 245.678 B</w:t>
      </w:r>
    </w:p>
    <w:p>
      <w:pPr>
        <w:jc w:val="left"/>
      </w:pPr>
      <w:r>
        <w:t>vertreten durch die Geschäftsführer Andrea Roesener und Bert Schmid</w:t>
      </w:r>
    </w:p>
    <w:p/>
    <w:p>
      <w:pPr>
        <w:jc w:val="left"/>
      </w:pPr>
      <w:r>
        <w:rPr>
          <w:b/>
        </w:rPr>
        <w:t>Streitwert</w:t>
      </w:r>
      <w:r>
        <w:t>: 6.000.000 EUR (geschätzter wirtschaftlicher Wert der Anfechtung)</w:t>
      </w:r>
    </w:p>
    <w:p>
      <w:pPr>
        <w:jc w:val="left"/>
      </w:pPr>
      <w:r>
        <w:rPr>
          <w:b/>
        </w:rPr>
        <w:t>Az.</w:t>
      </w:r>
      <w:r>
        <w:t>: (wird zugeteilt)</w:t>
      </w:r>
    </w:p>
    <w:p/>
    <w:p>
      <w:pPr>
        <w:pStyle w:val="Heading2"/>
      </w:pPr>
      <w:r>
        <w:rPr>
          <w:rFonts w:ascii="Times New Roman" w:hAnsi="Times New Roman"/>
        </w:rPr>
        <w:t>Klagschrift</w:t>
      </w:r>
    </w:p>
    <w:p>
      <w:pPr>
        <w:jc w:val="left"/>
      </w:pPr>
      <w:r>
        <w:t>In dem Rechtsstreit</w:t>
      </w:r>
    </w:p>
    <w:p>
      <w:pPr>
        <w:jc w:val="left"/>
      </w:pPr>
      <w:r>
        <w:rPr>
          <w:b/>
        </w:rPr>
        <w:t>Christine Linnenbach</w:t>
      </w:r>
      <w:r>
        <w:t xml:space="preserve"> gegen </w:t>
      </w:r>
      <w:r>
        <w:rPr>
          <w:b/>
        </w:rPr>
        <w:t>Roeschen Tech GmbH</w:t>
      </w:r>
    </w:p>
    <w:p>
      <w:pPr>
        <w:jc w:val="left"/>
      </w:pPr>
      <w:r>
        <w:t>erhebe ich Klage und werde beantragen:</w:t>
      </w:r>
    </w:p>
    <w:p/>
    <w:p>
      <w:pPr>
        <w:pStyle w:val="Heading3"/>
      </w:pPr>
      <w:r>
        <w:rPr>
          <w:rFonts w:ascii="Times New Roman" w:hAnsi="Times New Roman"/>
        </w:rPr>
        <w:t>Anträge</w:t>
      </w:r>
    </w:p>
    <w:p>
      <w:pPr>
        <w:pStyle w:val="ListNumber"/>
      </w:pPr>
      <w:r>
        <w:t xml:space="preserve">Es wird </w:t>
      </w:r>
      <w:r>
        <w:rPr>
          <w:b/>
        </w:rPr>
        <w:t>festgestellt</w:t>
      </w:r>
      <w:r>
        <w:t xml:space="preserve">, dass der von der Gesellschafterversammlung der Beklagten am 18. Juni 2026 unter TOP 3 gefasste Beschluss zur Kapitalerhöhung um 12.500 EUR mit Bezugsrechtsausschluss zugunsten der </w:t>
      </w:r>
      <w:r>
        <w:rPr>
          <w:b/>
        </w:rPr>
        <w:t>Pi Mu Holding GmbH</w:t>
      </w:r>
      <w:r>
        <w:t xml:space="preserve"> </w:t>
      </w:r>
      <w:r>
        <w:rPr>
          <w:b/>
        </w:rPr>
        <w:t>nichtig</w:t>
      </w:r>
      <w:r>
        <w:t xml:space="preserve"> ist, hilfsweise: dass der Beschluss </w:t>
      </w:r>
      <w:r>
        <w:rPr>
          <w:b/>
        </w:rPr>
        <w:t>aufgehoben</w:t>
      </w:r>
      <w:r>
        <w:t xml:space="preserve"> wird (Anfechtung).</w:t>
      </w:r>
    </w:p>
    <w:p>
      <w:pPr>
        <w:pStyle w:val="ListNumber"/>
      </w:pPr>
      <w:r>
        <w:t>Die Beklagte trägt die Kosten des Rechtsstreits.</w:t>
      </w:r>
    </w:p>
    <w:p>
      <w:pPr>
        <w:pStyle w:val="ListNumber"/>
      </w:pPr>
      <w:r>
        <w:t>Die einstweilige Verfügung wird gleichzeitig in einem separaten Verfahren beantragt (siehe Anlage K8).</w:t>
      </w:r>
    </w:p>
    <w:p/>
    <w:p>
      <w:pPr>
        <w:pStyle w:val="Heading3"/>
      </w:pPr>
      <w:r>
        <w:rPr>
          <w:rFonts w:ascii="Times New Roman" w:hAnsi="Times New Roman"/>
        </w:rPr>
        <w:t>Sachverhalt</w:t>
      </w:r>
    </w:p>
    <w:p>
      <w:pPr>
        <w:pStyle w:val="Heading3"/>
      </w:pPr>
      <w:r>
        <w:rPr>
          <w:rFonts w:ascii="Times New Roman" w:hAnsi="Times New Roman"/>
        </w:rPr>
        <w:t>A. Gesellschaftliche Stellung der Klägerin</w:t>
      </w:r>
    </w:p>
    <w:p>
      <w:pPr>
        <w:jc w:val="left"/>
      </w:pPr>
      <w:r>
        <w:t>Die Klägerin ist Mitgründerin und seit der Gründung der Beklagten im März 2024 Gesellschafterin. Sie hält 6.000 von 40.000 Anteilen (= 15 %) der Class Common.</w:t>
      </w:r>
    </w:p>
    <w:p>
      <w:pPr>
        <w:jc w:val="left"/>
      </w:pPr>
      <w:r>
        <w:t>Die Beklagte ist eine GmbH, die im Bereich KI-gestützter Software-Entwicklung tätig ist.</w:t>
      </w:r>
    </w:p>
    <w:p>
      <w:pPr>
        <w:pStyle w:val="Heading3"/>
      </w:pPr>
      <w:r>
        <w:rPr>
          <w:rFonts w:ascii="Times New Roman" w:hAnsi="Times New Roman"/>
        </w:rPr>
        <w:t>B. Series-A-Finanzierung November 2025</w:t>
      </w:r>
    </w:p>
    <w:p>
      <w:pPr>
        <w:jc w:val="left"/>
      </w:pPr>
      <w:r>
        <w:t>Im November 2025 wurde im Rahmen einer Series-A-Finanzierung die Stahlauge Ventures AG aufgenommen, die seither 25 % der Anteile (Class B) hält. Bei dieser Kapitalerhöhung wurden die Bezugsrechte der bestehenden Gesellschafter ausgeschlossen. Die Klägerin hat dieser Erhöhung zugestimmt, da Stahlauge tatsächlich strategische Beiträge erbrachte.</w:t>
      </w:r>
    </w:p>
    <w:p>
      <w:pPr>
        <w:pStyle w:val="Heading3"/>
      </w:pPr>
      <w:r>
        <w:rPr>
          <w:rFonts w:ascii="Times New Roman" w:hAnsi="Times New Roman"/>
        </w:rPr>
        <w:t>C. Geplante 2. Kapitalerhöhung Juni 2026</w:t>
      </w:r>
    </w:p>
    <w:p>
      <w:pPr>
        <w:jc w:val="left"/>
      </w:pPr>
      <w:r>
        <w:t xml:space="preserve">Im Mai 2026 verkündete die Geschäftsführung Pläne für eine </w:t>
      </w:r>
      <w:r>
        <w:rPr>
          <w:b/>
        </w:rPr>
        <w:t>zweite Kapitalerhöhung</w:t>
      </w:r>
      <w:r>
        <w:t xml:space="preserve"> im Volumen von 12,5 Mio. EUR. Investor sollte die </w:t>
      </w:r>
      <w:r>
        <w:rPr>
          <w:b/>
        </w:rPr>
        <w:t>Pi Mu Holding GmbH</w:t>
      </w:r>
      <w:r>
        <w:t xml:space="preserve"> sein.</w:t>
      </w:r>
    </w:p>
    <w:p>
      <w:pPr>
        <w:jc w:val="left"/>
      </w:pPr>
      <w:r>
        <w:t>Die Klägerin hat sich gegen die geplante Konstruktion gewendet:</w:t>
      </w:r>
    </w:p>
    <w:p>
      <w:pPr>
        <w:pStyle w:val="ListBullet"/>
      </w:pPr>
      <w:r>
        <w:t xml:space="preserve">Pi Mu Holding ist </w:t>
      </w:r>
      <w:r>
        <w:rPr>
          <w:b/>
        </w:rPr>
        <w:t>kein</w:t>
      </w:r>
      <w:r>
        <w:t xml:space="preserve"> strategischer Investor, sondern ein </w:t>
      </w:r>
      <w:r>
        <w:rPr>
          <w:b/>
        </w:rPr>
        <w:t>Finanzinvestor</w:t>
      </w:r>
      <w:r>
        <w:t>.</w:t>
      </w:r>
    </w:p>
    <w:p>
      <w:pPr>
        <w:pStyle w:val="ListBullet"/>
      </w:pPr>
      <w:r>
        <w:t xml:space="preserve">Pi Mu Holding hat </w:t>
      </w:r>
      <w:r>
        <w:rPr>
          <w:b/>
        </w:rPr>
        <w:t>keine</w:t>
      </w:r>
      <w:r>
        <w:t xml:space="preserve"> Beteiligungen in der Industrie-KI-Branche.</w:t>
      </w:r>
    </w:p>
    <w:p>
      <w:pPr>
        <w:pStyle w:val="ListBullet"/>
      </w:pPr>
      <w:r>
        <w:t>Pi Mu Holding bringt keine strategischen Synergien.</w:t>
      </w:r>
    </w:p>
    <w:p>
      <w:pPr>
        <w:jc w:val="left"/>
      </w:pPr>
      <w:r>
        <w:t xml:space="preserve">Die Klägerin hat darauf bestanden, dass die 2. Kapitalerhöhung </w:t>
      </w:r>
      <w:r>
        <w:rPr>
          <w:b/>
        </w:rPr>
        <w:t>mit Bezugsrechten</w:t>
      </w:r>
      <w:r>
        <w:t xml:space="preserve"> der bestehenden Gesellschafter zu erfolgen hat — gegebenenfalls anteilig, sofern sie persönlich nicht den vollen Bezugsanteil erbringen kann.</w:t>
      </w:r>
    </w:p>
    <w:p>
      <w:pPr>
        <w:pStyle w:val="Heading3"/>
      </w:pPr>
      <w:r>
        <w:rPr>
          <w:rFonts w:ascii="Times New Roman" w:hAnsi="Times New Roman"/>
        </w:rPr>
        <w:t>D. Gesellschafterversammlung 18. Juni 2026</w:t>
      </w:r>
    </w:p>
    <w:p>
      <w:pPr>
        <w:jc w:val="left"/>
      </w:pPr>
      <w:r>
        <w:t xml:space="preserve">In der Gesellschafterversammlung am 18.06.2026 wurde der Beschluss zur Kapitalerhöhung mit Bezugsrechtsausschluss zugunsten Pi Mu Holding GmbH </w:t>
      </w:r>
      <w:r>
        <w:rPr>
          <w:b/>
        </w:rPr>
        <w:t>mit 85 % der Stimmen</w:t>
      </w:r>
      <w:r>
        <w:t xml:space="preserve"> (Andrea Roesener, Bert Schmid, Stahlauge Ventures AG) gegen die Stimme der Klägerin (15 %) gefasst.</w:t>
      </w:r>
    </w:p>
    <w:p>
      <w:pPr>
        <w:jc w:val="left"/>
      </w:pPr>
      <w:r>
        <w:t>Die formelle Mehrheit von 75 % wurde damit erreicht.</w:t>
      </w:r>
    </w:p>
    <w:p>
      <w:pPr>
        <w:pStyle w:val="Heading3"/>
      </w:pPr>
      <w:r>
        <w:rPr>
          <w:rFonts w:ascii="Times New Roman" w:hAnsi="Times New Roman"/>
        </w:rPr>
        <w:t>E. Auswirkungen auf die Klägerin</w:t>
      </w:r>
    </w:p>
    <w:p>
      <w:pPr>
        <w:pStyle w:val="ListBullet"/>
      </w:pPr>
      <w:r>
        <w:t>Verwaesserung von 15 % auf 11,76 % (= 21,6 % relativ)</w:t>
      </w:r>
    </w:p>
    <w:p>
      <w:pPr>
        <w:pStyle w:val="ListBullet"/>
      </w:pPr>
      <w:r>
        <w:t>Stimmrechts-Verlust unter wesentliche Schwellen</w:t>
      </w:r>
    </w:p>
    <w:p>
      <w:pPr>
        <w:pStyle w:val="ListBullet"/>
      </w:pPr>
      <w:r>
        <w:t>Bewertungs-Verlust in mittleren Exit-Szenarien (siehe Cap Table Anlage K3)</w:t>
      </w:r>
    </w:p>
    <w:p>
      <w:pPr>
        <w:pStyle w:val="ListBullet"/>
      </w:pPr>
      <w:r>
        <w:t>Wirtschaftlich besser gestellt wären die Gründer und Stahlauge — Verwaesserung war für sie strategisch während Christine als "Lasttier" der Streckung diente</w:t>
      </w:r>
    </w:p>
    <w:p/>
    <w:p>
      <w:pPr>
        <w:pStyle w:val="Heading3"/>
      </w:pPr>
      <w:r>
        <w:rPr>
          <w:rFonts w:ascii="Times New Roman" w:hAnsi="Times New Roman"/>
        </w:rPr>
        <w:t>Rechtliche Beurteilung</w:t>
      </w:r>
    </w:p>
    <w:p>
      <w:pPr>
        <w:pStyle w:val="Heading3"/>
      </w:pPr>
      <w:r>
        <w:rPr>
          <w:rFonts w:ascii="Times New Roman" w:hAnsi="Times New Roman"/>
        </w:rPr>
        <w:t>I. Nichtigkeit / Anfechtbarkeit des Beschlusses</w:t>
      </w:r>
    </w:p>
    <w:p>
      <w:pPr>
        <w:pStyle w:val="Heading3"/>
      </w:pPr>
      <w:r>
        <w:rPr>
          <w:rFonts w:ascii="Times New Roman" w:hAnsi="Times New Roman"/>
        </w:rPr>
        <w:t>1. Verstoss gegen Paragraf 55 IV GmbHG</w:t>
      </w:r>
    </w:p>
    <w:p>
      <w:pPr>
        <w:jc w:val="left"/>
      </w:pPr>
      <w:r>
        <w:t xml:space="preserve">Paragraf 55 IV GmbHG verlangt für den Bezugsrechtsausschluss eine </w:t>
      </w:r>
      <w:r>
        <w:rPr>
          <w:b/>
        </w:rPr>
        <w:t>sachliche Rechtfertigung</w:t>
      </w:r>
      <w:r>
        <w:t>. Dabei trägt der Mehrheits-Beschluss zwingend die Begruendungs- und Beweislast.</w:t>
      </w:r>
    </w:p>
    <w:p>
      <w:pPr>
        <w:jc w:val="left"/>
      </w:pPr>
      <w:r>
        <w:t>Die BGH-Linie zum Bezugsrechtsausschluss beginnt mit der Kali+Salz-Entscheidung (BGH, Urt. v. 13.03.1978 - II ZR 142/76, BGHZ 71, 40):</w:t>
      </w:r>
    </w:p>
    <w:p>
      <w:pPr>
        <w:ind w:left="567"/>
      </w:pPr>
      <w:r>
        <w:rPr>
          <w:i/>
        </w:rPr>
        <w:t>"Der Bezugsrechtsausschluss ist nur zulässig, wenn er</w:t>
      </w:r>
    </w:p>
    <w:p>
      <w:pPr>
        <w:ind w:left="567"/>
      </w:pPr>
      <w:r>
        <w:rPr>
          <w:i/>
        </w:rPr>
        <w:t>(a) durch einen sachlichen Grund gerechtfertigt ist,</w:t>
      </w:r>
    </w:p>
    <w:p>
      <w:pPr>
        <w:ind w:left="567"/>
      </w:pPr>
      <w:r>
        <w:rPr>
          <w:i/>
        </w:rPr>
        <w:t>(b) zur Erreichung des Zwecks geeignet,</w:t>
      </w:r>
    </w:p>
    <w:p>
      <w:pPr>
        <w:ind w:left="567"/>
      </w:pPr>
      <w:r>
        <w:rPr>
          <w:i/>
        </w:rPr>
        <w:t>(c) erforderlich, und</w:t>
      </w:r>
    </w:p>
    <w:p>
      <w:pPr>
        <w:ind w:left="567"/>
      </w:pPr>
      <w:r>
        <w:rPr>
          <w:i/>
        </w:rPr>
        <w:t>(d) angemessen ist."</w:t>
      </w:r>
    </w:p>
    <w:p>
      <w:pPr>
        <w:jc w:val="left"/>
      </w:pPr>
      <w:r>
        <w:t xml:space="preserve">Im vorliegenden Fall fehlt es bereits am </w:t>
      </w:r>
      <w:r>
        <w:rPr>
          <w:b/>
        </w:rPr>
        <w:t>sachlichen Grund</w:t>
      </w:r>
      <w:r>
        <w:t>:</w:t>
      </w:r>
    </w:p>
    <w:p>
      <w:pPr>
        <w:pStyle w:val="ListBullet"/>
      </w:pPr>
      <w:r>
        <w:rPr>
          <w:b/>
        </w:rPr>
        <w:t>Pi Mu Holding GmbH</w:t>
      </w:r>
      <w:r>
        <w:t xml:space="preserve"> ist nach den öffentlich zugänglichen Registerdaten und eigenen Angaben ein Finanzinvestor, kein strategischer Investor.</w:t>
      </w:r>
    </w:p>
    <w:p>
      <w:pPr>
        <w:pStyle w:val="ListBullet"/>
      </w:pPr>
      <w:r>
        <w:t>Die behaupteten "industriellen Synergien" sind nicht substantiiert.</w:t>
      </w:r>
    </w:p>
    <w:p>
      <w:pPr>
        <w:pStyle w:val="ListBullet"/>
      </w:pPr>
      <w:r>
        <w:t xml:space="preserve">Die Behauptung, Pi Mu Holding bringe </w:t>
      </w:r>
      <w:r>
        <w:rPr>
          <w:b/>
        </w:rPr>
        <w:t>Markt-Zugang Industrie</w:t>
      </w:r>
      <w:r>
        <w:t>, ist nicht belegt.</w:t>
      </w:r>
    </w:p>
    <w:p>
      <w:pPr>
        <w:jc w:val="left"/>
      </w:pPr>
      <w:r>
        <w:t xml:space="preserve">Auch die </w:t>
      </w:r>
      <w:r>
        <w:rPr>
          <w:b/>
        </w:rPr>
        <w:t>Erforderlichkeit</w:t>
      </w:r>
      <w:r>
        <w:t xml:space="preserve"> fehlt:</w:t>
      </w:r>
    </w:p>
    <w:p>
      <w:pPr>
        <w:pStyle w:val="ListBullet"/>
      </w:pPr>
      <w:r>
        <w:t>Alternative Finanzierungs-Optionen wurden nicht ernsthaft geprüft.</w:t>
      </w:r>
    </w:p>
    <w:p>
      <w:pPr>
        <w:pStyle w:val="ListBullet"/>
      </w:pPr>
      <w:r>
        <w:t xml:space="preserve">Insbesondere wurden den bestehenden Gesellschaftern </w:t>
      </w:r>
      <w:r>
        <w:rPr>
          <w:b/>
        </w:rPr>
        <w:t>keine</w:t>
      </w:r>
      <w:r>
        <w:t xml:space="preserve"> Bezugsrechte mit ausreichender Frist angeboten.</w:t>
      </w:r>
    </w:p>
    <w:p>
      <w:pPr>
        <w:pStyle w:val="ListBullet"/>
      </w:pPr>
      <w:r>
        <w:t>Die Klägerin hat ausdrücklich ihre Bereitschaft erklärt, einen anteiligen Bezug von 1,875 Mio. EUR zu übernehmen.</w:t>
      </w:r>
    </w:p>
    <w:p>
      <w:pPr>
        <w:pStyle w:val="Heading3"/>
      </w:pPr>
      <w:r>
        <w:rPr>
          <w:rFonts w:ascii="Times New Roman" w:hAnsi="Times New Roman"/>
        </w:rPr>
        <w:t>2. Verstoss gegen Treuepflicht (Paragraf 242 BGB analog)</w:t>
      </w:r>
    </w:p>
    <w:p>
      <w:pPr>
        <w:jc w:val="left"/>
      </w:pPr>
      <w:r>
        <w:t xml:space="preserve">Die Mehrheits-Gesellschafter unterliegen einer </w:t>
      </w:r>
      <w:r>
        <w:rPr>
          <w:b/>
        </w:rPr>
        <w:t>Treuepflicht</w:t>
      </w:r>
      <w:r>
        <w:t xml:space="preserve"> gegenüber den Minderheits-Gesellschaftern (BGH, Urt. v. 25.01.2022 - II ZR 50/20; BGH, Beschl. v. 08.11.2022 - II ZR 91/21).</w:t>
      </w:r>
    </w:p>
    <w:p>
      <w:pPr>
        <w:jc w:val="left"/>
      </w:pPr>
      <w:r>
        <w:t>Diese verbietet:</w:t>
      </w:r>
    </w:p>
    <w:p>
      <w:pPr>
        <w:pStyle w:val="ListBullet"/>
      </w:pPr>
      <w:r>
        <w:t>Beschlüsse, die die Mitgesellschafter wirtschaftlich gezielt schädigen, ohne dass es objektiv erforderlich ist</w:t>
      </w:r>
    </w:p>
    <w:p>
      <w:pPr>
        <w:pStyle w:val="ListBullet"/>
      </w:pPr>
      <w:r>
        <w:t>Stimm-Ausübung zu Lasten Minderheits-Gesellschafter ohne legitimes Mehrheits-Interesse</w:t>
      </w:r>
    </w:p>
    <w:p>
      <w:pPr>
        <w:jc w:val="left"/>
      </w:pPr>
      <w:r>
        <w:t>Im vorliegenden Fall wurden:</w:t>
      </w:r>
    </w:p>
    <w:p>
      <w:pPr>
        <w:pStyle w:val="ListBullet"/>
      </w:pPr>
      <w:r>
        <w:t xml:space="preserve">Andrea und Bert verwasserten </w:t>
      </w:r>
      <w:r>
        <w:rPr>
          <w:b/>
        </w:rPr>
        <w:t>gleichmaessig</w:t>
      </w:r>
      <w:r>
        <w:t xml:space="preserve"> (jeweils von 30 % auf 23,53 %)</w:t>
      </w:r>
    </w:p>
    <w:p>
      <w:pPr>
        <w:pStyle w:val="ListBullet"/>
      </w:pPr>
      <w:r>
        <w:t xml:space="preserve">Christine verwasserte </w:t>
      </w:r>
      <w:r>
        <w:rPr>
          <w:b/>
        </w:rPr>
        <w:t>gleichmaessig</w:t>
      </w:r>
      <w:r>
        <w:t xml:space="preserve"> in absoluten Prozentpunkten, aber wegen ihrer kleineren Ausgangsposition relativ härter betroffen</w:t>
      </w:r>
    </w:p>
    <w:p>
      <w:pPr>
        <w:pStyle w:val="ListBullet"/>
      </w:pPr>
      <w:r>
        <w:t>Stahlauge profitierte zusätzlich durch ihre B-Sondervetorechte (kein Stimm-Verlust)</w:t>
      </w:r>
    </w:p>
    <w:p>
      <w:pPr>
        <w:jc w:val="left"/>
      </w:pPr>
      <w:r>
        <w:t xml:space="preserve">Vor allem aber: Die Gründer Andrea und Bert sind gleichzeitig Geschäftsführer. Sie haben ein </w:t>
      </w:r>
      <w:r>
        <w:rPr>
          <w:b/>
        </w:rPr>
        <w:t>eigenes Interesse</w:t>
      </w:r>
      <w:r>
        <w:t xml:space="preserve"> an der Beschleunigung der Series B (z.B. wegen geplantem Exit in 2 Jahren). Die Klägerin ist </w:t>
      </w:r>
      <w:r>
        <w:rPr>
          <w:b/>
        </w:rPr>
        <w:t>nicht in der GF</w:t>
      </w:r>
      <w:r>
        <w:t>.</w:t>
      </w:r>
    </w:p>
    <w:p>
      <w:pPr>
        <w:pStyle w:val="Heading3"/>
      </w:pPr>
      <w:r>
        <w:rPr>
          <w:rFonts w:ascii="Times New Roman" w:hAnsi="Times New Roman"/>
        </w:rPr>
        <w:t>3. Verstoss gegen sachgerechte Sachverhalts-Aufklärung</w:t>
      </w:r>
    </w:p>
    <w:p>
      <w:pPr>
        <w:jc w:val="left"/>
      </w:pPr>
      <w:r>
        <w:t xml:space="preserve">Die Versammlungsleiterin Andrea Roesener hat die Diskussion </w:t>
      </w:r>
      <w:r>
        <w:rPr>
          <w:b/>
        </w:rPr>
        <w:t>abgekürzt</w:t>
      </w:r>
      <w:r>
        <w:t>, ohne der Klägerin ausreichend Gelegenheit zur Stellungnahme zu geben. Auch dies ist Anfechtungsgrund.</w:t>
      </w:r>
    </w:p>
    <w:p>
      <w:pPr>
        <w:pStyle w:val="Heading3"/>
      </w:pPr>
      <w:r>
        <w:rPr>
          <w:rFonts w:ascii="Times New Roman" w:hAnsi="Times New Roman"/>
        </w:rPr>
        <w:t>II. Hilfsweise: Anfechtung</w:t>
      </w:r>
    </w:p>
    <w:p>
      <w:pPr>
        <w:jc w:val="left"/>
      </w:pPr>
      <w:r>
        <w:t xml:space="preserve">Sofern Nichtigkeit nicht zu bejahen ist, wird hilfsweise die </w:t>
      </w:r>
      <w:r>
        <w:rPr>
          <w:b/>
        </w:rPr>
        <w:t>Anfechtung</w:t>
      </w:r>
      <w:r>
        <w:t xml:space="preserve"> des Beschlusses gemäß Paragrafen 246, 248 AktG analog erklärt. Die Klagefrist (1 Monat ab Beschluss) ist gewahrt: Beschluss vom 18.06.2026, Klage vom 14.07.2026.</w:t>
      </w:r>
    </w:p>
    <w:p/>
    <w:p>
      <w:pPr>
        <w:pStyle w:val="Heading3"/>
      </w:pPr>
      <w:r>
        <w:rPr>
          <w:rFonts w:ascii="Times New Roman" w:hAnsi="Times New Roman"/>
        </w:rPr>
        <w:t>Beweisangebot</w:t>
      </w:r>
    </w:p>
    <w:p>
      <w:pPr>
        <w:jc w:val="left"/>
      </w:pPr>
      <w:r>
        <w:t>Zeugen:</w:t>
      </w:r>
    </w:p>
    <w:p>
      <w:pPr>
        <w:pStyle w:val="ListNumber"/>
      </w:pPr>
      <w:r>
        <w:rPr>
          <w:b/>
        </w:rPr>
        <w:t>RA Dr. Markus Meurer</w:t>
      </w:r>
      <w:r>
        <w:t>, Litzowufer 24, 10785 Berlin (anwesend in der GV)</w:t>
      </w:r>
    </w:p>
    <w:p>
      <w:pPr>
        <w:pStyle w:val="ListNumber"/>
      </w:pPr>
      <w:r>
        <w:rPr>
          <w:b/>
        </w:rPr>
        <w:t>Dr. Felix Stahlauge</w:t>
      </w:r>
      <w:r>
        <w:t>, Vorstand Stahlauge Ventures AG, Theatinerstrasse 15, 80333 Muenchen</w:t>
      </w:r>
    </w:p>
    <w:p>
      <w:pPr>
        <w:jc w:val="left"/>
      </w:pPr>
      <w:r>
        <w:t>Urkunden (siehe Anlagen):</w:t>
      </w:r>
    </w:p>
    <w:p>
      <w:pPr>
        <w:pStyle w:val="ListBullet"/>
      </w:pPr>
      <w:r>
        <w:t>K1: Einladung zur GV vom 27.05.2026</w:t>
      </w:r>
    </w:p>
    <w:p>
      <w:pPr>
        <w:pStyle w:val="ListBullet"/>
      </w:pPr>
      <w:r>
        <w:t>K2: Protokoll der GV vom 18.06.2026</w:t>
      </w:r>
    </w:p>
    <w:p>
      <w:pPr>
        <w:pStyle w:val="ListBullet"/>
      </w:pPr>
      <w:r>
        <w:t>K3: Cap Table vor und nach KE</w:t>
      </w:r>
    </w:p>
    <w:p>
      <w:pPr>
        <w:pStyle w:val="ListBullet"/>
      </w:pPr>
      <w:r>
        <w:t>K4: Subscription Agreement Pi Mu Holding GmbH (Entwurf)</w:t>
      </w:r>
    </w:p>
    <w:p>
      <w:pPr>
        <w:pStyle w:val="ListBullet"/>
      </w:pPr>
      <w:r>
        <w:t>K5: HR-Auszug Pi Mu Holding GmbH (zeigt: Finanz-Holding-Struktur)</w:t>
      </w:r>
    </w:p>
    <w:p>
      <w:pPr>
        <w:pStyle w:val="ListBullet"/>
      </w:pPr>
      <w:r>
        <w:t>K6: E-Mail-Verkehr zwischen Klägerin und Geschäftsführung 28.05.-15.06.2026</w:t>
      </w:r>
    </w:p>
    <w:p>
      <w:pPr>
        <w:pStyle w:val="ListBullet"/>
      </w:pPr>
      <w:r>
        <w:t>K7: Eigene eidesstattliche Versicherung der Klägerin</w:t>
      </w:r>
    </w:p>
    <w:p>
      <w:pPr>
        <w:pStyle w:val="ListBullet"/>
      </w:pPr>
      <w:r>
        <w:t>K8: Antrag auf einstweilige Verfügung</w:t>
      </w:r>
    </w:p>
    <w:p>
      <w:pPr>
        <w:jc w:val="left"/>
      </w:pPr>
      <w:r>
        <w:t>Sachverständiger:</w:t>
      </w:r>
    </w:p>
    <w:p>
      <w:pPr>
        <w:pStyle w:val="ListBullet"/>
      </w:pPr>
      <w:r>
        <w:rPr>
          <w:b/>
        </w:rPr>
        <w:t>Wirtschaftsprüfer für Bewertung</w:t>
      </w:r>
      <w:r>
        <w:t xml:space="preserve"> der Pi-Mu-Synergien wird bei Bedarf benannt.</w:t>
      </w:r>
    </w:p>
    <w:p/>
    <w:p>
      <w:pPr>
        <w:pStyle w:val="Heading3"/>
      </w:pPr>
      <w:r>
        <w:rPr>
          <w:rFonts w:ascii="Times New Roman" w:hAnsi="Times New Roman"/>
        </w:rPr>
        <w:t>Anlagen-Verzeichnis</w:t>
      </w:r>
    </w:p>
    <w:p>
      <w:pPr>
        <w:jc w:val="left"/>
      </w:pPr>
      <w:r>
        <w:t>K1 — K8 (wie oben aufgeführt)</w:t>
      </w:r>
    </w:p>
    <w:p/>
    <w:p>
      <w:pPr>
        <w:pStyle w:val="Heading3"/>
      </w:pPr>
      <w:r>
        <w:rPr>
          <w:rFonts w:ascii="Times New Roman" w:hAnsi="Times New Roman"/>
        </w:rPr>
        <w:t>Erklärungen</w:t>
      </w:r>
    </w:p>
    <w:p>
      <w:pPr>
        <w:jc w:val="left"/>
      </w:pPr>
      <w:r>
        <w:t>Die Klägerin erklärt:</w:t>
      </w:r>
    </w:p>
    <w:p>
      <w:pPr>
        <w:pStyle w:val="ListBullet"/>
      </w:pPr>
      <w:r>
        <w:t>Die in der Klagschrift erhobenen Behauptungen entsprechen ihrem Kenntnisstand.</w:t>
      </w:r>
    </w:p>
    <w:p>
      <w:pPr>
        <w:pStyle w:val="ListBullet"/>
      </w:pPr>
      <w:r>
        <w:t>Sie ist in der Lage, die Klagekosten zu tragen.</w:t>
      </w:r>
    </w:p>
    <w:p/>
    <w:p>
      <w:pPr>
        <w:jc w:val="left"/>
      </w:pPr>
      <w:r>
        <w:t>Berlin, den 14. Juli 2026</w:t>
      </w:r>
    </w:p>
    <w:p/>
    <w:p>
      <w:pPr>
        <w:jc w:val="left"/>
      </w:pPr>
      <w:r>
        <w:t>RA Dr. Markus Meurer</w:t>
      </w:r>
    </w:p>
    <w:p>
      <w:pPr>
        <w:jc w:val="left"/>
      </w:pPr>
      <w:r>
        <w:t>Prozessbevollmaechtigter</w:t>
      </w:r>
    </w:p>
    <w:p/>
    <w:p>
      <w:pPr>
        <w:jc w:val="left"/>
      </w:pPr>
      <w:r>
        <w:t>Christine Linnenbach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