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Bank, KYC und Transparenzregister</w:t>
      </w:r>
    </w:p>
    <w:p>
      <w:pPr>
        <w:jc w:val="left"/>
      </w:pPr>
      <w:r>
        <w:t>Die Hausbank verlangt vor Closing: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 Gesellschafterliste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Class C noch nicht eingetragen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UBO-Ermittlung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Vetorechte Stahlauge können Kontrolle vermitteln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Mittelherkunft Pi Mu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Holdingstruktur Luxemburg-Zwischenebene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Satzungsentwurf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Registerfähigkeit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enthält Side Letter nicht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Geschäftsführer-Ausweise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Andrea Reisepass läuft in 4 Monaten ab</w:t>
            </w:r>
          </w:p>
        </w:tc>
      </w:tr>
    </w:tbl>
    <w:p>
      <w:pPr>
        <w:jc w:val="left"/>
      </w:pPr>
      <w:r>
        <w:t>Prüffrage: Wer ist nach Closing wirtschaftlich berechtigt und wann muss aktualisiert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