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IP Assignment und Open Source</w:t>
      </w:r>
    </w:p>
    <w:p>
      <w:pPr>
        <w:pStyle w:val="Heading2"/>
      </w:pPr>
      <w:r>
        <w:rPr>
          <w:rFonts w:ascii="Times New Roman" w:hAnsi="Times New Roman"/>
        </w:rPr>
        <w:t>Befund</w:t>
      </w:r>
    </w:p>
    <w:p>
      <w:pPr>
        <w:jc w:val="left"/>
      </w:pPr>
      <w:r>
        <w:t>Bert entwickelte den Kernalgorithmus teilweise vor Gründung in einem privaten Repository. Andrea brachte Kundenschnittstellen und UI-Entwürfe ein. Christine organisierte Datenpartnerschaften. Im Datenraum liegt nur ein kurzer IP-Assignment-Entwurf von 2024.</w:t>
      </w:r>
    </w:p>
    <w:p>
      <w:pPr>
        <w:pStyle w:val="Heading2"/>
      </w:pPr>
      <w:r>
        <w:rPr>
          <w:rFonts w:ascii="Times New Roman" w:hAnsi="Times New Roman"/>
        </w:rPr>
        <w:t>Open-Source-Risiko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Komponente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Lizenz laut Repo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Nutzung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vision-lite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Bildvorverarbeitung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docmesh-core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AGPL-3.0?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Serverkomponente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hoch, Klärung nötig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formsnap-ui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Apache-2.0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old-parser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unbekannt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Legacy Import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</w:tbl>
    <w:p>
      <w:pPr>
        <w:jc w:val="left"/>
      </w:pPr>
      <w:r>
        <w:t>Investor verlangt vor Closing eine IP- und OSS-Garantie. Christine meint, diese Zusage könne derzeit niemand seriös geben.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