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Board Pack — Cash Burn und Closing-Druck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Juni Forecast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Cash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196.000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Burn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119.000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Runway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4,6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3,0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1,6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510.000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548.000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575.000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offene Forderungen &gt; 60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44.000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88.000 EUR</w:t>
            </w:r>
          </w:p>
        </w:tc>
      </w:tr>
    </w:tbl>
    <w:p>
      <w:pPr>
        <w:jc w:val="left"/>
      </w:pPr>
      <w:r>
        <w:t>Bert argumentiert, ohne Pi Mu müsse sofort Personal reduziert werden. Christine hält dagegen, dass ein Bridge Loan weniger verwässernd wäre.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