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Datenschutz- und KI-Compliance Startcheck</w:t>
      </w:r>
    </w:p>
    <w:p>
      <w:pPr>
        <w:jc w:val="left"/>
      </w:pPr>
      <w:r>
        <w:t>Roeschen Tech analysiert Kundenformulare mit einem KI-Modul. Unklar:</w:t>
      </w:r>
    </w:p>
    <w:p>
      <w:pPr>
        <w:pStyle w:val="ListBullet"/>
      </w:pPr>
      <w:r>
        <w:t>Werden personenbezogene Daten zum Training genutzt?</w:t>
      </w:r>
    </w:p>
    <w:p>
      <w:pPr>
        <w:pStyle w:val="ListBullet"/>
      </w:pPr>
      <w:r>
        <w:t>Gibt es AV-Verträge mit Pilotkunden?</w:t>
      </w:r>
    </w:p>
    <w:p>
      <w:pPr>
        <w:pStyle w:val="ListBullet"/>
      </w:pPr>
      <w:r>
        <w:t>Ist ein KI-System im Sinne der KI-VO dokumentiert?</w:t>
      </w:r>
    </w:p>
    <w:p>
      <w:pPr>
        <w:pStyle w:val="ListBullet"/>
      </w:pPr>
      <w:r>
        <w:t>Gibt es Hochrisiko-Anzeichen, wenn Kunden das Tool im HR-Kontext verwenden?</w:t>
      </w:r>
    </w:p>
    <w:p>
      <w:pPr>
        <w:pStyle w:val="ListBullet"/>
      </w:pPr>
      <w:r>
        <w:t>Enthält das Investorendeck übertriebene Aussagen zur Compliance?</w:t>
      </w:r>
    </w:p>
    <w:p>
      <w:pPr>
        <w:jc w:val="left"/>
      </w:pPr>
      <w:r>
        <w:t>Notiz: Für Closing sollten Datenschutzrecht und KI-VO-Checker hinzugezogen werden.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