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Registerbeanstandung — mögliche Punkte</w:t>
      </w:r>
    </w:p>
    <w:p>
      <w:pPr>
        <w:jc w:val="left"/>
      </w:pPr>
      <w:r>
        <w:t>Das Registergericht könnte nach Vorprüfung beanstanden:</w:t>
      </w:r>
    </w:p>
    <w:p>
      <w:pPr>
        <w:pStyle w:val="ListNumber"/>
      </w:pPr>
      <w:r>
        <w:t>Satzungsänderung zu Anteilsklassen nicht eindeutig genug.</w:t>
      </w:r>
    </w:p>
    <w:p>
      <w:pPr>
        <w:pStyle w:val="ListNumber"/>
      </w:pPr>
      <w:r>
        <w:t>Genehmigtes Kapital bei GmbH in der konkreten Fassung unklar begrenzt.</w:t>
      </w:r>
    </w:p>
    <w:p>
      <w:pPr>
        <w:pStyle w:val="ListNumber"/>
      </w:pPr>
      <w:r>
        <w:t>Geschäftsführer-Versicherung zur Kapitalerhöhung unvollständig.</w:t>
      </w:r>
    </w:p>
    <w:p>
      <w:pPr>
        <w:pStyle w:val="ListNumber"/>
      </w:pPr>
      <w:r>
        <w:t>Gesellschafterliste Prozentangaben weichen im Rundungsverhalten vom Beschluss ab.</w:t>
      </w:r>
    </w:p>
    <w:p>
      <w:pPr>
        <w:pStyle w:val="ListNumber"/>
      </w:pPr>
      <w:r>
        <w:t>Firma/Unternehmensgegenstand enthält KI-Claims, die mit Erlaubnispflichten verwechselt werden könnten.</w:t>
      </w:r>
    </w:p>
    <w:p>
      <w:pPr>
        <w:jc w:val="left"/>
      </w:pPr>
      <w:r>
        <w:t>Antwortstrategie: technische Bereinigung anbieten, aber keinen materiellen Streit mit Christine vor Registergericht verstecken.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