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Mandatsnotiz Erstgespräch (JVA Koeln-Ossendorf)</w:t>
      </w:r>
    </w:p>
    <w:p>
      <w:pPr>
        <w:jc w:val="left"/>
      </w:pPr>
      <w:r>
        <w:rPr>
          <w:b/>
        </w:rPr>
        <w:t>Vellbruck Strafverteidigung Koeln</w:t>
      </w:r>
    </w:p>
    <w:p>
      <w:pPr>
        <w:jc w:val="left"/>
      </w:pPr>
      <w:r>
        <w:rPr>
          <w:b/>
        </w:rPr>
        <w:t>Vertraulich — Anwaltsgeheimnis § 53 StPO, § 43a Abs. 2 BRAO</w:t>
      </w:r>
    </w:p>
    <w:p>
      <w:pPr>
        <w:jc w:val="left"/>
      </w:pPr>
      <w:r>
        <w:t>Erstellt: Dr. Lia Vellbruck-Eisinger</w:t>
      </w:r>
    </w:p>
    <w:p>
      <w:pPr>
        <w:jc w:val="left"/>
      </w:pPr>
      <w:r>
        <w:t>Datum: 13. Mai 2026, 14:30 — 17:45 Uhr</w:t>
      </w:r>
    </w:p>
    <w:p>
      <w:pPr>
        <w:jc w:val="left"/>
      </w:pPr>
      <w:r>
        <w:t>Ort: JVA Koeln-Ossendorf, Rochusstrasse 350, 50827 Koeln, Anwaltszimmer Block C</w:t>
      </w:r>
    </w:p>
    <w:p>
      <w:pPr>
        <w:jc w:val="left"/>
      </w:pPr>
      <w:r>
        <w:t>Anwesend: Mandant Dr. Carlsten Pellbach-Eisenacher; Verteidigerin</w:t>
      </w:r>
    </w:p>
    <w:p/>
    <w:p>
      <w:pPr>
        <w:pStyle w:val="Heading2"/>
      </w:pPr>
      <w:r>
        <w:rPr>
          <w:rFonts w:ascii="Times New Roman" w:hAnsi="Times New Roman"/>
        </w:rPr>
        <w:t>1. Mandantendaten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Angabe</w:t>
            </w:r>
          </w:p>
        </w:tc>
      </w:tr>
      <w:tr>
        <w:tc>
          <w:tcPr>
            <w:tcW w:type="dxa" w:w="4536"/>
          </w:tcPr>
          <w:p>
            <w:r>
              <w:rPr>
                <w:rFonts w:ascii="Times New Roman" w:hAnsi="Times New Roman"/>
                <w:sz w:val="20"/>
              </w:rPr>
              <w:t>Mandant</w:t>
            </w:r>
          </w:p>
        </w:tc>
        <w:tc>
          <w:tcPr>
            <w:tcW w:type="dxa" w:w="4536"/>
          </w:tcPr>
          <w:p>
            <w:r>
              <w:rPr>
                <w:rFonts w:ascii="Times New Roman" w:hAnsi="Times New Roman"/>
                <w:sz w:val="20"/>
              </w:rPr>
              <w:t>Dr. Carlsten Heinrich Pellbach-Eisenacher</w:t>
            </w:r>
          </w:p>
        </w:tc>
      </w:tr>
      <w:tr>
        <w:tc>
          <w:tcPr>
            <w:tcW w:type="dxa" w:w="4536"/>
          </w:tcPr>
          <w:p>
            <w:r>
              <w:rPr>
                <w:rFonts w:ascii="Times New Roman" w:hAnsi="Times New Roman"/>
                <w:sz w:val="20"/>
              </w:rPr>
              <w:t>Geburtsdatum</w:t>
            </w:r>
          </w:p>
        </w:tc>
        <w:tc>
          <w:tcPr>
            <w:tcW w:type="dxa" w:w="4536"/>
          </w:tcPr>
          <w:p>
            <w:r>
              <w:rPr>
                <w:rFonts w:ascii="Times New Roman" w:hAnsi="Times New Roman"/>
                <w:sz w:val="20"/>
              </w:rPr>
              <w:t>18.10.1971 in Koeln</w:t>
            </w:r>
          </w:p>
        </w:tc>
      </w:tr>
      <w:tr>
        <w:tc>
          <w:tcPr>
            <w:tcW w:type="dxa" w:w="4536"/>
          </w:tcPr>
          <w:p>
            <w:r>
              <w:rPr>
                <w:rFonts w:ascii="Times New Roman" w:hAnsi="Times New Roman"/>
                <w:sz w:val="20"/>
              </w:rPr>
              <w:t>Staatsangehörigkeit</w:t>
            </w:r>
          </w:p>
        </w:tc>
        <w:tc>
          <w:tcPr>
            <w:tcW w:type="dxa" w:w="4536"/>
          </w:tcPr>
          <w:p>
            <w:r>
              <w:rPr>
                <w:rFonts w:ascii="Times New Roman" w:hAnsi="Times New Roman"/>
                <w:sz w:val="20"/>
              </w:rPr>
              <w:t>deutsch</w:t>
            </w:r>
          </w:p>
        </w:tc>
      </w:tr>
      <w:tr>
        <w:tc>
          <w:tcPr>
            <w:tcW w:type="dxa" w:w="4536"/>
          </w:tcPr>
          <w:p>
            <w:r>
              <w:rPr>
                <w:rFonts w:ascii="Times New Roman" w:hAnsi="Times New Roman"/>
                <w:sz w:val="20"/>
              </w:rPr>
              <w:t>Familienstand</w:t>
            </w:r>
          </w:p>
        </w:tc>
        <w:tc>
          <w:tcPr>
            <w:tcW w:type="dxa" w:w="4536"/>
          </w:tcPr>
          <w:p>
            <w:r>
              <w:rPr>
                <w:rFonts w:ascii="Times New Roman" w:hAnsi="Times New Roman"/>
                <w:sz w:val="20"/>
              </w:rPr>
              <w:t>verheiratet, zwei Kinder (16, 19)</w:t>
            </w:r>
          </w:p>
        </w:tc>
      </w:tr>
      <w:tr>
        <w:tc>
          <w:tcPr>
            <w:tcW w:type="dxa" w:w="4536"/>
          </w:tcPr>
          <w:p>
            <w:r>
              <w:rPr>
                <w:rFonts w:ascii="Times New Roman" w:hAnsi="Times New Roman"/>
                <w:sz w:val="20"/>
              </w:rPr>
              <w:t>Privatadresse</w:t>
            </w:r>
          </w:p>
        </w:tc>
        <w:tc>
          <w:tcPr>
            <w:tcW w:type="dxa" w:w="4536"/>
          </w:tcPr>
          <w:p>
            <w:r>
              <w:rPr>
                <w:rFonts w:ascii="Times New Roman" w:hAnsi="Times New Roman"/>
                <w:sz w:val="20"/>
              </w:rPr>
              <w:t>Sankt-Vither Strasse 41, 50937 Koeln</w:t>
            </w:r>
          </w:p>
        </w:tc>
      </w:tr>
      <w:tr>
        <w:tc>
          <w:tcPr>
            <w:tcW w:type="dxa" w:w="4536"/>
          </w:tcPr>
          <w:p>
            <w:r>
              <w:rPr>
                <w:rFonts w:ascii="Times New Roman" w:hAnsi="Times New Roman"/>
                <w:sz w:val="20"/>
              </w:rPr>
              <w:t>Aufenthaltsort</w:t>
            </w:r>
          </w:p>
        </w:tc>
        <w:tc>
          <w:tcPr>
            <w:tcW w:type="dxa" w:w="4536"/>
          </w:tcPr>
          <w:p>
            <w:r>
              <w:rPr>
                <w:rFonts w:ascii="Times New Roman" w:hAnsi="Times New Roman"/>
                <w:sz w:val="20"/>
              </w:rPr>
              <w:t>JVA Koeln-Ossendorf, Block C</w:t>
            </w:r>
          </w:p>
        </w:tc>
      </w:tr>
      <w:tr>
        <w:tc>
          <w:tcPr>
            <w:tcW w:type="dxa" w:w="4536"/>
          </w:tcPr>
          <w:p>
            <w:r>
              <w:rPr>
                <w:rFonts w:ascii="Times New Roman" w:hAnsi="Times New Roman"/>
                <w:sz w:val="20"/>
              </w:rPr>
              <w:t>Beruf</w:t>
            </w:r>
          </w:p>
        </w:tc>
        <w:tc>
          <w:tcPr>
            <w:tcW w:type="dxa" w:w="4536"/>
          </w:tcPr>
          <w:p>
            <w:r>
              <w:rPr>
                <w:rFonts w:ascii="Times New Roman" w:hAnsi="Times New Roman"/>
                <w:sz w:val="20"/>
              </w:rPr>
              <w:t>Geschäftsführer / Inhaber Pellbach Logistik &amp; Spedition GmbH</w:t>
            </w:r>
          </w:p>
        </w:tc>
      </w:tr>
      <w:tr>
        <w:tc>
          <w:tcPr>
            <w:tcW w:type="dxa" w:w="4536"/>
          </w:tcPr>
          <w:p>
            <w:r>
              <w:rPr>
                <w:rFonts w:ascii="Times New Roman" w:hAnsi="Times New Roman"/>
                <w:sz w:val="20"/>
              </w:rPr>
              <w:t>Bildung</w:t>
            </w:r>
          </w:p>
        </w:tc>
        <w:tc>
          <w:tcPr>
            <w:tcW w:type="dxa" w:w="4536"/>
          </w:tcPr>
          <w:p>
            <w:r>
              <w:rPr>
                <w:rFonts w:ascii="Times New Roman" w:hAnsi="Times New Roman"/>
                <w:sz w:val="20"/>
              </w:rPr>
              <w:t>Diplom-Volkswirt (Uni Koeln 1999), Promotion 2004 (Logistik / Supply Chain)</w:t>
            </w:r>
          </w:p>
        </w:tc>
      </w:tr>
      <w:tr>
        <w:tc>
          <w:tcPr>
            <w:tcW w:type="dxa" w:w="4536"/>
          </w:tcPr>
          <w:p>
            <w:r>
              <w:rPr>
                <w:rFonts w:ascii="Times New Roman" w:hAnsi="Times New Roman"/>
                <w:sz w:val="20"/>
              </w:rPr>
              <w:t>Vermögen</w:t>
            </w:r>
          </w:p>
        </w:tc>
        <w:tc>
          <w:tcPr>
            <w:tcW w:type="dxa" w:w="4536"/>
          </w:tcPr>
          <w:p>
            <w:r>
              <w:rPr>
                <w:rFonts w:ascii="Times New Roman" w:hAnsi="Times New Roman"/>
                <w:sz w:val="20"/>
              </w:rPr>
              <w:t>Privatvermögen: Immobilie Koeln-Suelz (geschätzt 1.8 Mio EUR, lastenfrei); Depots ca. 340.000 EUR; Bargeld auf Konto (Pfändung läuft)</w:t>
            </w:r>
          </w:p>
        </w:tc>
      </w:tr>
      <w:tr>
        <w:tc>
          <w:tcPr>
            <w:tcW w:type="dxa" w:w="4536"/>
          </w:tcPr>
          <w:p>
            <w:r>
              <w:rPr>
                <w:rFonts w:ascii="Times New Roman" w:hAnsi="Times New Roman"/>
                <w:sz w:val="20"/>
              </w:rPr>
              <w:t>Vorstrafen</w:t>
            </w:r>
          </w:p>
        </w:tc>
        <w:tc>
          <w:tcPr>
            <w:tcW w:type="dxa" w:w="4536"/>
          </w:tcPr>
          <w:p>
            <w:r>
              <w:rPr>
                <w:rFonts w:ascii="Times New Roman" w:hAnsi="Times New Roman"/>
                <w:sz w:val="20"/>
              </w:rPr>
              <w:t>Keine. Eine OWi-Geldbusse 2018 (Verkehr).</w:t>
            </w:r>
          </w:p>
        </w:tc>
      </w:tr>
      <w:tr>
        <w:tc>
          <w:tcPr>
            <w:tcW w:type="dxa" w:w="4536"/>
          </w:tcPr>
          <w:p>
            <w:r>
              <w:rPr>
                <w:rFonts w:ascii="Times New Roman" w:hAnsi="Times New Roman"/>
                <w:sz w:val="20"/>
              </w:rPr>
              <w:t>Krankheiten</w:t>
            </w:r>
          </w:p>
        </w:tc>
        <w:tc>
          <w:tcPr>
            <w:tcW w:type="dxa" w:w="4536"/>
          </w:tcPr>
          <w:p>
            <w:r>
              <w:rPr>
                <w:rFonts w:ascii="Times New Roman" w:hAnsi="Times New Roman"/>
                <w:sz w:val="20"/>
              </w:rPr>
              <w:t>Bluthochdruck, Diabetes II (Insulin), Herzkatheter 2023</w:t>
            </w:r>
          </w:p>
        </w:tc>
      </w:tr>
    </w:tbl>
    <w:p/>
    <w:p>
      <w:pPr>
        <w:pStyle w:val="Heading2"/>
      </w:pPr>
      <w:r>
        <w:rPr>
          <w:rFonts w:ascii="Times New Roman" w:hAnsi="Times New Roman"/>
        </w:rPr>
        <w:t>2. Belehrung</w:t>
      </w:r>
    </w:p>
    <w:p>
      <w:pPr>
        <w:jc w:val="left"/>
      </w:pPr>
      <w:r>
        <w:t>Vor Beginn über § 136 Abs. 1 StPO (Aussagefreiheit) belehrt. Hinweis darauf, dass die Verteidigerin der Schweigepflicht unterliegt, dass das Mandat ein Wahlmandat ist und parallel die Pflichtverteidiger-Beiordnung beantragt wird. Mandant erklärt Vollmachterteilung; Vollmachtsformular im Anschluss zur Unterzeichnung gereicht.</w:t>
      </w:r>
    </w:p>
    <w:p/>
    <w:p>
      <w:pPr>
        <w:pStyle w:val="Heading2"/>
      </w:pPr>
      <w:r>
        <w:rPr>
          <w:rFonts w:ascii="Times New Roman" w:hAnsi="Times New Roman"/>
        </w:rPr>
        <w:t>3. Sachverhaltsschilderung Mandant</w:t>
      </w:r>
    </w:p>
    <w:p>
      <w:pPr>
        <w:jc w:val="left"/>
      </w:pPr>
      <w:r>
        <w:t>(zusammengefasst, nicht wörtlich)</w:t>
      </w:r>
    </w:p>
    <w:p>
      <w:pPr>
        <w:pStyle w:val="Heading3"/>
      </w:pPr>
      <w:r>
        <w:rPr>
          <w:rFonts w:ascii="Times New Roman" w:hAnsi="Times New Roman"/>
        </w:rPr>
        <w:t>3.1 Unternehmen</w:t>
      </w:r>
    </w:p>
    <w:p>
      <w:pPr>
        <w:jc w:val="left"/>
      </w:pPr>
      <w:r>
        <w:t>Die Pellbach Logistik &amp; Spedition GmbH, gegründet 2008 als Familienunternehmen, betreibe Spedition mit Schwerpunkt Konsumgüter und temperaturgefuehrte Logistik. Vier Standorte: Koeln (HQ, ca. 90 Mitarbeiter), Bottrop (Lager- und Crossdocking, ca. 45 Mitarbeiter), Stuttgart (Süd-Hub, ca. 28 Mitarbeiter), Wroclaw (Polen, ca. 32 Mitarbeiter, GmbH-Tochter "Pellbach Logistik Polska Sp. z o.o."). Geschäftsführer sei er allein. Gesellschafterstruktur: Pellbach 50 %, Ehefrau Frieda Pellbach-Eisenacher 50 %. Frau Pellbach-Eisenacher sei "stille Gesellschafterin", trete im Geschäft aber gelegentlich auf — naheres siehe Email-Konvolut und Chat-Export.</w:t>
      </w:r>
    </w:p>
    <w:p>
      <w:pPr>
        <w:pStyle w:val="Heading3"/>
      </w:pPr>
      <w:r>
        <w:rPr>
          <w:rFonts w:ascii="Times New Roman" w:hAnsi="Times New Roman"/>
        </w:rPr>
        <w:t>3.2 Krise und Antragspflicht</w:t>
      </w:r>
    </w:p>
    <w:p>
      <w:pPr>
        <w:jc w:val="left"/>
      </w:pPr>
      <w:r>
        <w:t>Die Krise habe sich seit Sommer 2024 angebahnt: Kraftstoffpreise hoch, Rückgang Konsum, Verlust eines Grosskunden ("HelmwerkSued" Februar 2024). Der Steuerberater Engelmeier habe ihn am 18.12.2024 schriftlich vor möglicher Insolvenzreife gewarnt. Mandant gibt an: Er habe Sanierungsverhandlungen mit Hausbank (Volksbank Rhein-Berg) geführt. Bis Januar 2025 sei nicht klar gewesen, ob eine echte Zahlungsunfähigkeit oder nur eine Liquiditätsenge vorliege. Er habe dann am 09.03.2025 selbst Insolvenzantrag gestellt. Die StA argumentiere, ab 12.01.2025 sei Zahlungsunfähigkeit gegeben; Mandant bestreitet das.</w:t>
      </w:r>
    </w:p>
    <w:p>
      <w:pPr>
        <w:pStyle w:val="Heading3"/>
      </w:pPr>
      <w:r>
        <w:rPr>
          <w:rFonts w:ascii="Times New Roman" w:hAnsi="Times New Roman"/>
        </w:rPr>
        <w:t>3.3 Bankrottvorwurf</w:t>
      </w:r>
    </w:p>
    <w:p>
      <w:pPr>
        <w:jc w:val="left"/>
      </w:pPr>
      <w:r>
        <w:t>Der StA-Vorwurf umfasst u.a.: (a) Verheimlichen von Lagerbeständen Bottrop (etwa 80 EUR-Paletten Markenwaren) vor dem Insolvenzverwalter, (b) Nicht-Fortführung der Buchführung im Februar 2025, (c) "grob wirtschaftswidrige" Praxis durch Privatentnahmen und Begleichung familiärer Forderungen. Mandant: Die Lagerbestände habe man dem polnischen Standort zugeführt, weil dort ein Auftragsplus bestanden habe — keine Verheimlichung. Buchhaltung sei wegen Quasthoff-Abgang (Februar 2025) zwei Wochen geruht, dann normal weitergeführt.</w:t>
      </w:r>
    </w:p>
    <w:p>
      <w:pPr>
        <w:pStyle w:val="Heading3"/>
      </w:pPr>
      <w:r>
        <w:rPr>
          <w:rFonts w:ascii="Times New Roman" w:hAnsi="Times New Roman"/>
        </w:rPr>
        <w:t>3.4 Untreue</w:t>
      </w:r>
    </w:p>
    <w:p>
      <w:pPr>
        <w:jc w:val="left"/>
      </w:pPr>
      <w:r>
        <w:t>Privatentnahmen in der Krise: Mandant räumt ein, Ende November 2024 und Dezember 2024 zwei Privatentnahmen über 80.000 EUR bzw. 75.000 EUR getätigt zu haben, "zur Sicherung der Familienliquidität". Er habe immer wieder Gelder hin- und herueberwiesen; Buchhaltung Quasthoff habe das verbucht. Im Januar / Februar 2025 weitere Entnahmen ca. 257.000 EUR (Aufstellung tabellen/privatentnahmen_pellbach_2024_2025.csv).</w:t>
      </w:r>
    </w:p>
    <w:p>
      <w:pPr>
        <w:pStyle w:val="Heading3"/>
      </w:pPr>
      <w:r>
        <w:rPr>
          <w:rFonts w:ascii="Times New Roman" w:hAnsi="Times New Roman"/>
        </w:rPr>
        <w:t>3.5 Vorenthalten Arbeitgeberanteile (§ 266a)</w:t>
      </w:r>
    </w:p>
    <w:p>
      <w:pPr>
        <w:jc w:val="left"/>
      </w:pPr>
      <w:r>
        <w:t>Ab November 2024 sei die Lohnzahlung nur noch zu 70 % erfolgt; SV-Beiträge seien teils nur partiell, teils gar nicht abgeführt worden. Betriebsrat habe gemahnt. Mandant gibt an, er habe "priorisiert" — Löhne gingen vor SV. Volumen: ca. 187.000 EUR offene SV-Beiträge.</w:t>
      </w:r>
    </w:p>
    <w:p>
      <w:pPr>
        <w:pStyle w:val="Heading3"/>
      </w:pPr>
      <w:r>
        <w:rPr>
          <w:rFonts w:ascii="Times New Roman" w:hAnsi="Times New Roman"/>
        </w:rPr>
        <w:t>3.6 Steuerhinterziehung</w:t>
      </w:r>
    </w:p>
    <w:p>
      <w:pPr>
        <w:jc w:val="left"/>
      </w:pPr>
      <w:r>
        <w:t>USt-Voranmeldungen September 2024 bis Februar 2025 seien teils zu spät oder mit falschen Werten gemeldet worden. Mandant verweist auf Steuerberater Engelmeier; er habe selbst nur unterschrieben.</w:t>
      </w:r>
    </w:p>
    <w:p>
      <w:pPr>
        <w:pStyle w:val="Heading3"/>
      </w:pPr>
      <w:r>
        <w:rPr>
          <w:rFonts w:ascii="Times New Roman" w:hAnsi="Times New Roman"/>
        </w:rPr>
        <w:t>3.7 Subventionsbetrug Coronahilfe</w:t>
      </w:r>
    </w:p>
    <w:p>
      <w:pPr>
        <w:jc w:val="left"/>
      </w:pPr>
      <w:r>
        <w:t>Im November 2022 sei KfW-Coronahilfe Q4/2022 beantragt worden (ca. 320.000 EUR). Bedingung: Liquiditätsenge wegen COVID. Mandant: Liquidität sei real angespannt gewesen, Auftragslage wechselhaft. Falsche Angaben? Mandant: "Habe gewissenhaft ausgefüllt." Detailprüfung folgt.</w:t>
      </w:r>
    </w:p>
    <w:p>
      <w:pPr>
        <w:pStyle w:val="Heading3"/>
      </w:pPr>
      <w:r>
        <w:rPr>
          <w:rFonts w:ascii="Times New Roman" w:hAnsi="Times New Roman"/>
        </w:rPr>
        <w:t>3.8 Geldwaesche-Verdacht</w:t>
      </w:r>
    </w:p>
    <w:p>
      <w:pPr>
        <w:jc w:val="left"/>
      </w:pPr>
      <w:r>
        <w:t>Zahlungen an Wroclaw-Tochter: monatliche Konzernumlagen (Lizenzgebühren, IT-Cost-Sharing). Mandant bestreitet jede Tarnung. Hinweis aber: einmal im Januar 2025 sei eine Sonderzahlung von 120.000 EUR an Wroclaw gegangen "zur Stabilisierung Tochter", die später teilweise an einen polnischen Berater weiterfloss. Recherche im Konzern-Cash-Management nötig.</w:t>
      </w:r>
    </w:p>
    <w:p>
      <w:pPr>
        <w:pStyle w:val="Heading3"/>
      </w:pPr>
      <w:r>
        <w:rPr>
          <w:rFonts w:ascii="Times New Roman" w:hAnsi="Times New Roman"/>
        </w:rPr>
        <w:t>3.9 Verhältnis zu Quasthoff</w:t>
      </w:r>
    </w:p>
    <w:p>
      <w:pPr>
        <w:jc w:val="left"/>
      </w:pPr>
      <w:r>
        <w:t xml:space="preserve">Frau Mira Quasthoff (37) war von 2018 bis Februar 2025 Hauptbuchhalterin (Vollzeit) und bis dahin loyal. Im November 2024 sei Mandantin durch Zufallsfund (Vergleich Spesenabrechnungen mit Hotelbuchungen) auf überhöhte Spesenabrechnungen Quasthoffs gestossen. Mandant habe sie schriftlich gemahnt (siehe </w:t>
      </w:r>
      <w:r>
        <w:t>eml/01_pellbach_an_quasthoff_spesen_2024_11_03.eml</w:t>
      </w:r>
      <w:r>
        <w:t>) und arbeitsrechtliche Konsequenzen angedroht. Quasthoff habe schriftlich widersprochen (</w:t>
      </w:r>
      <w:r>
        <w:t>eml/02_quasthoff_an_pellbach_widerspruch_2024_11_07.eml</w:t>
      </w:r>
      <w:r>
        <w:t>). Im Februar 2025 habe sie Aufhebungsvertrag mit Abfindung 22.000 EUR unterschrieben. Im Dezember 2025 habe sie eigenständig Strafanzeige erstattet.</w:t>
      </w:r>
    </w:p>
    <w:p/>
    <w:p>
      <w:pPr>
        <w:pStyle w:val="Heading2"/>
      </w:pPr>
      <w:r>
        <w:rPr>
          <w:rFonts w:ascii="Times New Roman" w:hAnsi="Times New Roman"/>
        </w:rPr>
        <w:t>4. Erste rechtliche Einordnung</w:t>
      </w:r>
    </w:p>
    <w:p>
      <w:pPr>
        <w:jc w:val="left"/>
      </w:pPr>
      <w:r>
        <w:t>(Stichworte, Gutachtenstil folgt in 10_schutzschrift_entwurf.md)</w:t>
      </w:r>
    </w:p>
    <w:p>
      <w:pPr>
        <w:pStyle w:val="ListBullet"/>
      </w:pPr>
      <w:r>
        <w:rPr>
          <w:b/>
        </w:rPr>
        <w:t>§ 15a InsO:</w:t>
      </w:r>
      <w:r>
        <w:t xml:space="preserve"> Zentral, ob Zahlungsunfähigkeit zum 12.01.2025 objektiv vorlag. Sachverständiger StA Schönwetter geht von Zahlungsunfähigkeit aus; Verteidigergutachten nötig.</w:t>
      </w:r>
    </w:p>
    <w:p>
      <w:pPr>
        <w:pStyle w:val="ListBullet"/>
      </w:pPr>
      <w:r>
        <w:rPr>
          <w:b/>
        </w:rPr>
        <w:t>§ 283 StGB:</w:t>
      </w:r>
      <w:r>
        <w:t xml:space="preserve"> Mehrere Tatbestandsalternativen problematisch. "Beiseiteschaffen" Lagerbestände kann durchgehen, wenn Wroclaw-Verschiebung als Geschäftsfortführung gefasst wird.</w:t>
      </w:r>
    </w:p>
    <w:p>
      <w:pPr>
        <w:pStyle w:val="ListBullet"/>
      </w:pPr>
      <w:r>
        <w:rPr>
          <w:b/>
        </w:rPr>
        <w:t>§ 266 StGB:</w:t>
      </w:r>
      <w:r>
        <w:t xml:space="preserve"> Privatentnahmen in der Krise sind klassisch problematisch. Verteidigung: Vermögensbetreuungspflicht-Reichweite bei Allein-GF mit Ehefrau als 50-%-Gesellschafterin.</w:t>
      </w:r>
    </w:p>
    <w:p>
      <w:pPr>
        <w:pStyle w:val="ListBullet"/>
      </w:pPr>
      <w:r>
        <w:rPr>
          <w:b/>
        </w:rPr>
        <w:t>§ 266a StGB:</w:t>
      </w:r>
      <w:r>
        <w:t xml:space="preserve"> Klassischer Vorwurf. Verteidigung: § 266a Abs. 6 StGB-Selbstanzeige? (Mandant hat dies versäumt.)</w:t>
      </w:r>
    </w:p>
    <w:p>
      <w:pPr>
        <w:pStyle w:val="ListBullet"/>
      </w:pPr>
      <w:r>
        <w:rPr>
          <w:b/>
        </w:rPr>
        <w:t>§ 370 AO:</w:t>
      </w:r>
      <w:r>
        <w:t xml:space="preserve"> Beraterverschulden ist hier zu prüfen. Erinnerung: § 371 AO Selbstanzeige nur bis Tatentdeckung.</w:t>
      </w:r>
    </w:p>
    <w:p>
      <w:pPr>
        <w:pStyle w:val="ListBullet"/>
      </w:pPr>
      <w:r>
        <w:rPr>
          <w:b/>
        </w:rPr>
        <w:t>§ 264 StGB:</w:t>
      </w:r>
      <w:r>
        <w:t xml:space="preserve"> Subventionserheblichkeit der Angaben? Hier dreht der Verteidigungsansatz.</w:t>
      </w:r>
    </w:p>
    <w:p>
      <w:pPr>
        <w:pStyle w:val="ListBullet"/>
      </w:pPr>
      <w:r>
        <w:rPr>
          <w:b/>
        </w:rPr>
        <w:t>§ 261 StGB:</w:t>
      </w:r>
      <w:r>
        <w:t xml:space="preserve"> Vortatlosigkeit aufzeigen. Wenn aber alle anderen Vorwürfe als Vortat tauglich, dann Konstruktion StA. Verteidigung muss Vortatkette durchschlagen.</w:t>
      </w:r>
    </w:p>
    <w:p/>
    <w:p>
      <w:pPr>
        <w:pStyle w:val="Heading2"/>
      </w:pPr>
      <w:r>
        <w:rPr>
          <w:rFonts w:ascii="Times New Roman" w:hAnsi="Times New Roman"/>
        </w:rPr>
        <w:t>5. Wünsche / Anliegen Mandant</w:t>
      </w:r>
    </w:p>
    <w:p>
      <w:pPr>
        <w:pStyle w:val="ListBullet"/>
      </w:pPr>
      <w:r>
        <w:t>Wunsch nach Aussetzung des Vollzugs. Ehefrau sei bereit, 250.000 EUR Kaution zu stellen.</w:t>
      </w:r>
    </w:p>
    <w:p>
      <w:pPr>
        <w:pStyle w:val="ListBullet"/>
      </w:pPr>
      <w:r>
        <w:t>Schutz der Familie: Wunsch, dass Medienberichte gegenüber Kindern moderiert werden.</w:t>
      </w:r>
    </w:p>
    <w:p>
      <w:pPr>
        <w:pStyle w:val="ListBullet"/>
      </w:pPr>
      <w:r>
        <w:t>Klare Linie: kein Pauschalgeständnis. Mandant will nicht alle 7 Vorwürfe schultern.</w:t>
      </w:r>
    </w:p>
    <w:p>
      <w:pPr>
        <w:pStyle w:val="ListBullet"/>
      </w:pPr>
      <w:r>
        <w:t>Erste persönliche Gesprächsbitte mit Ehefrau (haftrechtlich noch zu prüfen).</w:t>
      </w:r>
    </w:p>
    <w:p/>
    <w:p>
      <w:pPr>
        <w:pStyle w:val="Heading2"/>
      </w:pPr>
      <w:r>
        <w:rPr>
          <w:rFonts w:ascii="Times New Roman" w:hAnsi="Times New Roman"/>
        </w:rPr>
        <w:t>6. Vereinbarte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Termin</w:t>
            </w:r>
          </w:p>
        </w:tc>
        <w:tc>
          <w:tcPr>
            <w:tcW w:type="dxa" w:w="3024"/>
          </w:tcPr>
          <w:p>
            <w:r>
              <w:rPr>
                <w:rFonts w:ascii="Times New Roman" w:hAnsi="Times New Roman"/>
                <w:b/>
                <w:sz w:val="20"/>
              </w:rPr>
              <w:t>Zuständig</w:t>
            </w:r>
          </w:p>
        </w:tc>
      </w:tr>
      <w:tr>
        <w:tc>
          <w:tcPr>
            <w:tcW w:type="dxa" w:w="3024"/>
          </w:tcPr>
          <w:p>
            <w:r>
              <w:rPr>
                <w:rFonts w:ascii="Times New Roman" w:hAnsi="Times New Roman"/>
                <w:sz w:val="20"/>
              </w:rPr>
              <w:t>Vollmacht ausstellen, Beiordnungsantrag</w:t>
            </w:r>
          </w:p>
        </w:tc>
        <w:tc>
          <w:tcPr>
            <w:tcW w:type="dxa" w:w="3024"/>
          </w:tcPr>
          <w:p>
            <w:r>
              <w:rPr>
                <w:rFonts w:ascii="Times New Roman" w:hAnsi="Times New Roman"/>
                <w:sz w:val="20"/>
              </w:rPr>
              <w:t>14.05.2026</w:t>
            </w:r>
          </w:p>
        </w:tc>
        <w:tc>
          <w:tcPr>
            <w:tcW w:type="dxa" w:w="3024"/>
          </w:tcPr>
          <w:p>
            <w:r>
              <w:rPr>
                <w:rFonts w:ascii="Times New Roman" w:hAnsi="Times New Roman"/>
                <w:sz w:val="20"/>
              </w:rPr>
              <w:t>Vellbruck</w:t>
            </w:r>
          </w:p>
        </w:tc>
      </w:tr>
      <w:tr>
        <w:tc>
          <w:tcPr>
            <w:tcW w:type="dxa" w:w="3024"/>
          </w:tcPr>
          <w:p>
            <w:r>
              <w:rPr>
                <w:rFonts w:ascii="Times New Roman" w:hAnsi="Times New Roman"/>
                <w:sz w:val="20"/>
              </w:rPr>
              <w:t>Akteneinsichtsantrag § 147 StPO an StA</w:t>
            </w:r>
          </w:p>
        </w:tc>
        <w:tc>
          <w:tcPr>
            <w:tcW w:type="dxa" w:w="3024"/>
          </w:tcPr>
          <w:p>
            <w:r>
              <w:rPr>
                <w:rFonts w:ascii="Times New Roman" w:hAnsi="Times New Roman"/>
                <w:sz w:val="20"/>
              </w:rPr>
              <w:t>14.05.2026</w:t>
            </w:r>
          </w:p>
        </w:tc>
        <w:tc>
          <w:tcPr>
            <w:tcW w:type="dxa" w:w="3024"/>
          </w:tcPr>
          <w:p>
            <w:r>
              <w:rPr>
                <w:rFonts w:ascii="Times New Roman" w:hAnsi="Times New Roman"/>
                <w:sz w:val="20"/>
              </w:rPr>
              <w:t>Vellbruck</w:t>
            </w:r>
          </w:p>
        </w:tc>
      </w:tr>
      <w:tr>
        <w:tc>
          <w:tcPr>
            <w:tcW w:type="dxa" w:w="3024"/>
          </w:tcPr>
          <w:p>
            <w:r>
              <w:rPr>
                <w:rFonts w:ascii="Times New Roman" w:hAnsi="Times New Roman"/>
                <w:sz w:val="20"/>
              </w:rPr>
              <w:t>Haftprüfungsantrag § 117 StPO vorbereiten</w:t>
            </w:r>
          </w:p>
        </w:tc>
        <w:tc>
          <w:tcPr>
            <w:tcW w:type="dxa" w:w="3024"/>
          </w:tcPr>
          <w:p>
            <w:r>
              <w:rPr>
                <w:rFonts w:ascii="Times New Roman" w:hAnsi="Times New Roman"/>
                <w:sz w:val="20"/>
              </w:rPr>
              <w:t>18.05.2026</w:t>
            </w:r>
          </w:p>
        </w:tc>
        <w:tc>
          <w:tcPr>
            <w:tcW w:type="dxa" w:w="3024"/>
          </w:tcPr>
          <w:p>
            <w:r>
              <w:rPr>
                <w:rFonts w:ascii="Times New Roman" w:hAnsi="Times New Roman"/>
                <w:sz w:val="20"/>
              </w:rPr>
              <w:t>Vellbruck + Knehrkamp</w:t>
            </w:r>
          </w:p>
        </w:tc>
      </w:tr>
      <w:tr>
        <w:tc>
          <w:tcPr>
            <w:tcW w:type="dxa" w:w="3024"/>
          </w:tcPr>
          <w:p>
            <w:r>
              <w:rPr>
                <w:rFonts w:ascii="Times New Roman" w:hAnsi="Times New Roman"/>
                <w:sz w:val="20"/>
              </w:rPr>
              <w:t>Haftbeschwerde § 304 StPO einlegen</w:t>
            </w:r>
          </w:p>
        </w:tc>
        <w:tc>
          <w:tcPr>
            <w:tcW w:type="dxa" w:w="3024"/>
          </w:tcPr>
          <w:p>
            <w:r>
              <w:rPr>
                <w:rFonts w:ascii="Times New Roman" w:hAnsi="Times New Roman"/>
                <w:sz w:val="20"/>
              </w:rPr>
              <w:t>22.05.2026</w:t>
            </w:r>
          </w:p>
        </w:tc>
        <w:tc>
          <w:tcPr>
            <w:tcW w:type="dxa" w:w="3024"/>
          </w:tcPr>
          <w:p>
            <w:r>
              <w:rPr>
                <w:rFonts w:ascii="Times New Roman" w:hAnsi="Times New Roman"/>
                <w:sz w:val="20"/>
              </w:rPr>
              <w:t>Vellbruck</w:t>
            </w:r>
          </w:p>
        </w:tc>
      </w:tr>
      <w:tr>
        <w:tc>
          <w:tcPr>
            <w:tcW w:type="dxa" w:w="3024"/>
          </w:tcPr>
          <w:p>
            <w:r>
              <w:rPr>
                <w:rFonts w:ascii="Times New Roman" w:hAnsi="Times New Roman"/>
                <w:sz w:val="20"/>
              </w:rPr>
              <w:t>Kontaktaufnahme Steuerberater Engelmeier</w:t>
            </w:r>
          </w:p>
        </w:tc>
        <w:tc>
          <w:tcPr>
            <w:tcW w:type="dxa" w:w="3024"/>
          </w:tcPr>
          <w:p>
            <w:r>
              <w:rPr>
                <w:rFonts w:ascii="Times New Roman" w:hAnsi="Times New Roman"/>
                <w:sz w:val="20"/>
              </w:rPr>
              <w:t>bis 20.05.2026</w:t>
            </w:r>
          </w:p>
        </w:tc>
        <w:tc>
          <w:tcPr>
            <w:tcW w:type="dxa" w:w="3024"/>
          </w:tcPr>
          <w:p>
            <w:r>
              <w:rPr>
                <w:rFonts w:ascii="Times New Roman" w:hAnsi="Times New Roman"/>
                <w:sz w:val="20"/>
              </w:rPr>
              <w:t>Knehrkamp</w:t>
            </w:r>
          </w:p>
        </w:tc>
      </w:tr>
      <w:tr>
        <w:tc>
          <w:tcPr>
            <w:tcW w:type="dxa" w:w="3024"/>
          </w:tcPr>
          <w:p>
            <w:r>
              <w:rPr>
                <w:rFonts w:ascii="Times New Roman" w:hAnsi="Times New Roman"/>
                <w:sz w:val="20"/>
              </w:rPr>
              <w:t>Kontaktaufnahme Insolvenzverwalter Wagner-Hieronymi</w:t>
            </w:r>
          </w:p>
        </w:tc>
        <w:tc>
          <w:tcPr>
            <w:tcW w:type="dxa" w:w="3024"/>
          </w:tcPr>
          <w:p>
            <w:r>
              <w:rPr>
                <w:rFonts w:ascii="Times New Roman" w:hAnsi="Times New Roman"/>
                <w:sz w:val="20"/>
              </w:rPr>
              <w:t>bis 22.05.2026</w:t>
            </w:r>
          </w:p>
        </w:tc>
        <w:tc>
          <w:tcPr>
            <w:tcW w:type="dxa" w:w="3024"/>
          </w:tcPr>
          <w:p>
            <w:r>
              <w:rPr>
                <w:rFonts w:ascii="Times New Roman" w:hAnsi="Times New Roman"/>
                <w:sz w:val="20"/>
              </w:rPr>
              <w:t>Vellbruck</w:t>
            </w:r>
          </w:p>
        </w:tc>
      </w:tr>
      <w:tr>
        <w:tc>
          <w:tcPr>
            <w:tcW w:type="dxa" w:w="3024"/>
          </w:tcPr>
          <w:p>
            <w:r>
              <w:rPr>
                <w:rFonts w:ascii="Times New Roman" w:hAnsi="Times New Roman"/>
                <w:sz w:val="20"/>
              </w:rPr>
              <w:t>Vorgespräch Verständigung StA</w:t>
            </w:r>
          </w:p>
        </w:tc>
        <w:tc>
          <w:tcPr>
            <w:tcW w:type="dxa" w:w="3024"/>
          </w:tcPr>
          <w:p>
            <w:r>
              <w:rPr>
                <w:rFonts w:ascii="Times New Roman" w:hAnsi="Times New Roman"/>
                <w:sz w:val="20"/>
              </w:rPr>
              <w:t>bis 26.05.2026</w:t>
            </w:r>
          </w:p>
        </w:tc>
        <w:tc>
          <w:tcPr>
            <w:tcW w:type="dxa" w:w="3024"/>
          </w:tcPr>
          <w:p>
            <w:r>
              <w:rPr>
                <w:rFonts w:ascii="Times New Roman" w:hAnsi="Times New Roman"/>
                <w:sz w:val="20"/>
              </w:rPr>
              <w:t>Vellbruck</w:t>
            </w:r>
          </w:p>
        </w:tc>
      </w:tr>
      <w:tr>
        <w:tc>
          <w:tcPr>
            <w:tcW w:type="dxa" w:w="3024"/>
          </w:tcPr>
          <w:p>
            <w:r>
              <w:rPr>
                <w:rFonts w:ascii="Times New Roman" w:hAnsi="Times New Roman"/>
                <w:sz w:val="20"/>
              </w:rPr>
              <w:t>Aussagepsychologisches SV-Gutachten Quasthoff: Anfrage</w:t>
            </w:r>
          </w:p>
        </w:tc>
        <w:tc>
          <w:tcPr>
            <w:tcW w:type="dxa" w:w="3024"/>
          </w:tcPr>
          <w:p>
            <w:r>
              <w:rPr>
                <w:rFonts w:ascii="Times New Roman" w:hAnsi="Times New Roman"/>
                <w:sz w:val="20"/>
              </w:rPr>
              <w:t>bis 28.05.2026</w:t>
            </w:r>
          </w:p>
        </w:tc>
        <w:tc>
          <w:tcPr>
            <w:tcW w:type="dxa" w:w="3024"/>
          </w:tcPr>
          <w:p>
            <w:r>
              <w:rPr>
                <w:rFonts w:ascii="Times New Roman" w:hAnsi="Times New Roman"/>
                <w:sz w:val="20"/>
              </w:rPr>
              <w:t>Vellbruck</w:t>
            </w:r>
          </w:p>
        </w:tc>
      </w:tr>
    </w:tbl>
    <w:p/>
    <w:p>
      <w:pPr>
        <w:pStyle w:val="Heading2"/>
      </w:pPr>
      <w:r>
        <w:rPr>
          <w:rFonts w:ascii="Times New Roman" w:hAnsi="Times New Roman"/>
        </w:rPr>
        <w:t>7. Honorarvereinbarung / Kostenhinweis</w:t>
      </w:r>
    </w:p>
    <w:p>
      <w:pPr>
        <w:jc w:val="left"/>
      </w:pPr>
      <w:r>
        <w:t>Mandant unterzeichnet Honorarvereinbarung nach RVG mit Mindestpauschale Vorverfahren 18.000 EUR netto, danach Stundensatz 380 EUR / 250 EUR (Partner / Associate). Hinweis nach § 49b BRAO auf gesetzliche Gebühren erteilt. Vorschuss 25.000 EUR von Ehefrau überwiesen.</w:t>
      </w:r>
    </w:p>
    <w:p/>
    <w:p>
      <w:pPr>
        <w:jc w:val="left"/>
      </w:pPr>
      <w:r>
        <w:rPr>
          <w:b/>
        </w:rPr>
        <w:t>Unterschrift:</w:t>
      </w:r>
    </w:p>
    <w:p>
      <w:pPr>
        <w:jc w:val="left"/>
      </w:pPr>
      <w:r>
        <w:t>Dr. Lia Vellbruck-Eisinger, Fachanwältin für Strafrecht</w:t>
      </w:r>
    </w:p>
    <w:p>
      <w:pPr>
        <w:jc w:val="left"/>
      </w:pPr>
      <w:r>
        <w:t>Vellbruck Strafverteidigung Koeln, Hahnenstrasse 22, 50667 Koeln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