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Aktenauszug Zeugenvernehmung Mira Quasthoff (V2) bei StA Koeln, 14.04.2026</w:t>
      </w:r>
    </w:p>
    <w:p>
      <w:pPr>
        <w:jc w:val="left"/>
      </w:pPr>
      <w:r>
        <w:rPr>
          <w:b/>
        </w:rPr>
        <w:t>Aktenauszug</w:t>
      </w:r>
      <w:r>
        <w:t xml:space="preserve"> aus Band V, Bl. 612–648.</w:t>
      </w:r>
    </w:p>
    <w:p>
      <w:pPr>
        <w:jc w:val="left"/>
      </w:pPr>
      <w:r>
        <w:t>Vernehmung geführt durch: OSchA Schamoni-Wieselburg (Schwerpunkt-StA Wirtschaft Koeln); Protokollführung StA-Angest. Bertosch.</w:t>
      </w:r>
    </w:p>
    <w:p>
      <w:pPr>
        <w:jc w:val="left"/>
      </w:pPr>
      <w:r>
        <w:t>Ort: StA Koeln, Reichenspergerplatz 1, 50670 Koeln, Saal 3.4</w:t>
      </w:r>
    </w:p>
    <w:p>
      <w:pPr>
        <w:jc w:val="left"/>
      </w:pPr>
      <w:r>
        <w:t>Dauer: 14.04.2026, 10:15 — 15:42 Uhr (5:27 h, davon 30 Minuten Pause)</w:t>
      </w:r>
    </w:p>
    <w:p>
      <w:pPr>
        <w:jc w:val="left"/>
      </w:pPr>
      <w:r>
        <w:t>Belehrung: §§ 57, 55 StPO erteilt. Zeugin hatte Anwältin RA'in Geyermann-Stoeve beraten (vorab) — diese nicht präsent. Zeugin erklärte, sie werde aussagen.</w:t>
      </w:r>
    </w:p>
    <w:p/>
    <w:p>
      <w:pPr>
        <w:pStyle w:val="Heading2"/>
      </w:pPr>
      <w:r>
        <w:rPr>
          <w:rFonts w:ascii="Times New Roman" w:hAnsi="Times New Roman"/>
        </w:rPr>
        <w:t>1. Hinweis der StA zu Beginn V2</w:t>
      </w:r>
    </w:p>
    <w:p>
      <w:pPr>
        <w:ind w:left="567"/>
      </w:pPr>
      <w:r>
        <w:rPr>
          <w:i/>
        </w:rPr>
        <w:t>"Frau Quasthoff, in Ihrer ersten Vernehmung hatten Sie einige Angaben zur Lagerverbringung Bottrop—Wroclaw und zu Privatentnahmen gemacht. Wir haben mittlerweile Akteneinsichten in die Buchhaltung der Pellbach Logistik gehabt. Wir möchten an einigen Stellen präziser werden. Sie können die Angaben gerne präzisieren oder, falls Sie sich nicht erinnern, das so kennzeichnen."</w:t>
      </w:r>
    </w:p>
    <w:p>
      <w:pPr>
        <w:jc w:val="left"/>
      </w:pPr>
      <w:r>
        <w:t>(Hinweis Verteidiger: Klassische Vorhaltetechnik, suggestiv. Zeugin wurde damit faktisch auf eine "richtigere" zweite Aussage gelenkt.)</w:t>
      </w:r>
    </w:p>
    <w:p/>
    <w:p>
      <w:pPr>
        <w:pStyle w:val="Heading2"/>
      </w:pPr>
      <w:r>
        <w:rPr>
          <w:rFonts w:ascii="Times New Roman" w:hAnsi="Times New Roman"/>
        </w:rPr>
        <w:t>2. Zentrale Aussagen V2 (mit Inkonsistenzen zur V1)</w:t>
      </w:r>
    </w:p>
    <w:p>
      <w:pPr>
        <w:pStyle w:val="Heading3"/>
      </w:pPr>
      <w:r>
        <w:rPr>
          <w:rFonts w:ascii="Times New Roman" w:hAnsi="Times New Roman"/>
        </w:rPr>
        <w:t>2.1 Lagerverbringung Bottrop nach Wroclaw — Datierung</w:t>
      </w:r>
    </w:p>
    <w:p>
      <w:pPr>
        <w:ind w:left="567"/>
      </w:pPr>
      <w:r>
        <w:rPr>
          <w:b/>
          <w:i/>
        </w:rPr>
        <w:t>V2, Bl. 622:</w:t>
      </w:r>
      <w:r>
        <w:rPr>
          <w:i/>
        </w:rPr>
        <w:t xml:space="preserve"> "Die grosse Welle der Lkw-Ladungen war im </w:t>
      </w:r>
      <w:r>
        <w:rPr>
          <w:b/>
          <w:i/>
        </w:rPr>
        <w:t>Februar 2025</w:t>
      </w:r>
      <w:r>
        <w:rPr>
          <w:i/>
        </w:rPr>
        <w:t xml:space="preserve">, ich würde sagen ab dem </w:t>
      </w:r>
      <w:r>
        <w:rPr>
          <w:b/>
          <w:i/>
        </w:rPr>
        <w:t>15. Februar</w:t>
      </w:r>
      <w:r>
        <w:rPr>
          <w:i/>
        </w:rPr>
        <w:t>. Vorher gab es ein, zwei Vorabverbringungen, das stimmt schon, das war im Januar. Aber die Hauptmenge — die 478.000 Euro Markenware — die ging ab Mitte Februar. Da bin ich sicher."</w:t>
      </w:r>
    </w:p>
    <w:p>
      <w:pPr>
        <w:jc w:val="left"/>
      </w:pPr>
      <w:r>
        <w:t xml:space="preserve">(Vergleich V1: "Januar 2025, etwa um den 20. Januar … 20 oder 25 Lkw-Ladungen". V2: "Hauptmenge ab 15. Februar 2025". Datierung der Hauptverbringung verschiebt sich um </w:t>
      </w:r>
      <w:r>
        <w:rPr>
          <w:b/>
        </w:rPr>
        <w:t>mindestens 25 Tage</w:t>
      </w:r>
      <w:r>
        <w:t>.)</w:t>
      </w:r>
    </w:p>
    <w:p>
      <w:pPr>
        <w:ind w:left="567"/>
      </w:pPr>
      <w:r>
        <w:rPr>
          <w:b/>
          <w:i/>
        </w:rPr>
        <w:t>V2, Bl. 624:</w:t>
      </w:r>
      <w:r>
        <w:rPr>
          <w:i/>
        </w:rPr>
        <w:t xml:space="preserve"> Vorhalt durch OSchA: "In der Buchhaltung Pellbach sehen wir Lkw-Frachtpapiere am 17., 19., 22., 24. und 27. Februar 2025."</w:t>
      </w:r>
    </w:p>
    <w:p>
      <w:pPr>
        <w:ind w:left="567"/>
      </w:pPr>
    </w:p>
    <w:p>
      <w:pPr>
        <w:ind w:left="567"/>
      </w:pPr>
      <w:r>
        <w:rPr>
          <w:i/>
        </w:rPr>
        <w:t>Zeugin: "Ja, das passt mit meiner Erinnerung. Im Januar waren es nur wenige."</w:t>
      </w:r>
    </w:p>
    <w:p>
      <w:pPr>
        <w:pStyle w:val="Heading3"/>
      </w:pPr>
      <w:r>
        <w:rPr>
          <w:rFonts w:ascii="Times New Roman" w:hAnsi="Times New Roman"/>
        </w:rPr>
        <w:t>2.2 Privatentnahmen — Beziffert</w:t>
      </w:r>
    </w:p>
    <w:p>
      <w:pPr>
        <w:ind w:left="567"/>
      </w:pPr>
      <w:r>
        <w:rPr>
          <w:b/>
          <w:i/>
        </w:rPr>
        <w:t>V2, Bl. 628:</w:t>
      </w:r>
      <w:r>
        <w:rPr>
          <w:i/>
        </w:rPr>
        <w:t xml:space="preserve"> "Im </w:t>
      </w:r>
      <w:r>
        <w:rPr>
          <w:b/>
          <w:i/>
        </w:rPr>
        <w:t>November 2024</w:t>
      </w:r>
      <w:r>
        <w:rPr>
          <w:i/>
        </w:rPr>
        <w:t xml:space="preserve"> waren es </w:t>
      </w:r>
      <w:r>
        <w:rPr>
          <w:b/>
          <w:i/>
        </w:rPr>
        <w:t>zwei Entnahmen</w:t>
      </w:r>
      <w:r>
        <w:rPr>
          <w:i/>
        </w:rPr>
        <w:t xml:space="preserve">, eine von 80.000 Euro Anfang November und eine von 45.000 Euro am Monatsende. Im </w:t>
      </w:r>
      <w:r>
        <w:rPr>
          <w:b/>
          <w:i/>
        </w:rPr>
        <w:t>Dezember 2024</w:t>
      </w:r>
      <w:r>
        <w:rPr>
          <w:i/>
        </w:rPr>
        <w:t xml:space="preserve"> war es eine Entnahme von </w:t>
      </w:r>
      <w:r>
        <w:rPr>
          <w:b/>
          <w:i/>
        </w:rPr>
        <w:t>120.000 Euro</w:t>
      </w:r>
      <w:r>
        <w:rPr>
          <w:i/>
        </w:rPr>
        <w:t xml:space="preserve"> — Sie sagten, ich hätte ‚100.000' gesagt, ja, ich erinnere mich jetzt: 120.000 Euro. Im Januar 2025 dann noch 75.000 und im Februar 2025 92.000 Euro."</w:t>
      </w:r>
    </w:p>
    <w:p>
      <w:pPr>
        <w:jc w:val="left"/>
      </w:pPr>
      <w:r>
        <w:t>(Vergleich V1: November 2024 "Entnahme 80.000 EUR" (eine Entnahme); Dezember 2024 "so um 100.000 EUR" (eine Entnahme). V2: November zwei Entnahmen 80.000 + 45.000; Dezember 120.000. Aufstockung um ca. 65.000 EUR allein durch erweiterte / korrigierte Erinnerung.)</w:t>
      </w:r>
    </w:p>
    <w:p>
      <w:pPr>
        <w:ind w:left="567"/>
      </w:pPr>
      <w:r>
        <w:rPr>
          <w:b/>
          <w:i/>
        </w:rPr>
        <w:t>V2, Bl. 629:</w:t>
      </w:r>
      <w:r>
        <w:rPr>
          <w:i/>
        </w:rPr>
        <w:t xml:space="preserve"> Auf Vorhalt der Buchhaltung: "Ja, das stimmt mit Ihren Unterlagen überein."</w:t>
      </w:r>
    </w:p>
    <w:p>
      <w:pPr>
        <w:pStyle w:val="Heading3"/>
      </w:pPr>
      <w:r>
        <w:rPr>
          <w:rFonts w:ascii="Times New Roman" w:hAnsi="Times New Roman"/>
        </w:rPr>
        <w:t>2.3 Löhne / SV-Beiträge</w:t>
      </w:r>
    </w:p>
    <w:p>
      <w:pPr>
        <w:ind w:left="567"/>
      </w:pPr>
      <w:r>
        <w:rPr>
          <w:b/>
          <w:i/>
        </w:rPr>
        <w:t>V2, Bl. 632:</w:t>
      </w:r>
      <w:r>
        <w:rPr>
          <w:i/>
        </w:rPr>
        <w:t xml:space="preserve"> "Die Löhne waren zu 65 Prozent ausgezahlt, nicht 70. Ich habe nochmal nachgesehen."</w:t>
      </w:r>
    </w:p>
    <w:p>
      <w:pPr>
        <w:jc w:val="left"/>
      </w:pPr>
      <w:r>
        <w:t>(Geringfügige Korrektur.)</w:t>
      </w:r>
    </w:p>
    <w:p>
      <w:pPr>
        <w:pStyle w:val="Heading3"/>
      </w:pPr>
      <w:r>
        <w:rPr>
          <w:rFonts w:ascii="Times New Roman" w:hAnsi="Times New Roman"/>
        </w:rPr>
        <w:t>2.4 USt-Voranmeldungen</w:t>
      </w:r>
    </w:p>
    <w:p>
      <w:pPr>
        <w:ind w:left="567"/>
      </w:pPr>
      <w:r>
        <w:rPr>
          <w:b/>
          <w:i/>
        </w:rPr>
        <w:t>V2, Bl. 635:</w:t>
      </w:r>
      <w:r>
        <w:rPr>
          <w:i/>
        </w:rPr>
        <w:t xml:space="preserve"> "Ich habe in der ersten Vernehmung gesagt, die Vorgaben kamen von Herrn Engelmeier. Das ist nur teilweise richtig. Herr Engelmeier hat mir die üblichen Vorgaben gegeben, aber bei den USt-Voranmeldungen ab November 2024 hat Herr Dr. Pellbach klar gesagt, welche Umsätze ich rauslassen soll. Engelmeier hat das einfach übernommen, weil er sich an seine Mandanten hält."</w:t>
      </w:r>
    </w:p>
    <w:p>
      <w:pPr>
        <w:jc w:val="left"/>
      </w:pPr>
      <w:r>
        <w:t>(Hier ergänzt Zeugin eine stärkere Belastung Pellbachs zu Lasten des Steuerberaters.)</w:t>
      </w:r>
    </w:p>
    <w:p>
      <w:pPr>
        <w:pStyle w:val="Heading3"/>
      </w:pPr>
      <w:r>
        <w:rPr>
          <w:rFonts w:ascii="Times New Roman" w:hAnsi="Times New Roman"/>
        </w:rPr>
        <w:t>2.5 KfW-Coronahilfe Q4/2022</w:t>
      </w:r>
    </w:p>
    <w:p>
      <w:pPr>
        <w:ind w:left="567"/>
      </w:pPr>
      <w:r>
        <w:rPr>
          <w:b/>
          <w:i/>
        </w:rPr>
        <w:t>V2, Bl. 638:</w:t>
      </w:r>
      <w:r>
        <w:rPr>
          <w:i/>
        </w:rPr>
        <w:t xml:space="preserve"> "Ich habe darüber nachgedacht. Bei dem KfW-Antrag im </w:t>
      </w:r>
      <w:r>
        <w:rPr>
          <w:b/>
          <w:i/>
        </w:rPr>
        <w:t>November 2022</w:t>
      </w:r>
      <w:r>
        <w:rPr>
          <w:i/>
        </w:rPr>
        <w:t xml:space="preserve"> war ich dabei, ich habe Herrn Dr. Pellbach geholfen, die Zahlen einzutragen. Wir haben einen Vergleich mit Q4/2019 gemacht. Der tatsächliche Umsatzrückgang war eher bei </w:t>
      </w:r>
      <w:r>
        <w:rPr>
          <w:b/>
          <w:i/>
        </w:rPr>
        <w:t>12 Prozent</w:t>
      </w:r>
      <w:r>
        <w:rPr>
          <w:i/>
        </w:rPr>
        <w:t xml:space="preserve">, im Antrag stand aber </w:t>
      </w:r>
      <w:r>
        <w:rPr>
          <w:b/>
          <w:i/>
        </w:rPr>
        <w:t>38 Prozent</w:t>
      </w:r>
      <w:r>
        <w:rPr>
          <w:i/>
        </w:rPr>
        <w:t>. Das hat Herr Dr. Pellbach so gewollt."</w:t>
      </w:r>
    </w:p>
    <w:p>
      <w:pPr>
        <w:jc w:val="left"/>
      </w:pPr>
      <w:r>
        <w:t>(In V1 hatte sie gesagt: "Den KfW-Antrag habe ich nur am Rande mitbekommen". In V2 ist sie pluetzlich operativ beteiligt gewesen — substantielle Erweiterung der eigenen Nähe zum Geschehen, ggf. Eigenstrafbarkeit relevant.)</w:t>
      </w:r>
    </w:p>
    <w:p>
      <w:pPr>
        <w:pStyle w:val="Heading3"/>
      </w:pPr>
      <w:r>
        <w:rPr>
          <w:rFonts w:ascii="Times New Roman" w:hAnsi="Times New Roman"/>
        </w:rPr>
        <w:t>2.6 Wroclaw-Zahlung 17.01.2025</w:t>
      </w:r>
    </w:p>
    <w:p>
      <w:pPr>
        <w:ind w:left="567"/>
      </w:pPr>
      <w:r>
        <w:rPr>
          <w:b/>
          <w:i/>
        </w:rPr>
        <w:t>V2, Bl. 640:</w:t>
      </w:r>
      <w:r>
        <w:rPr>
          <w:i/>
        </w:rPr>
        <w:t xml:space="preserve"> "Die Zahlung am 17. Januar — ja, das ist korrekt. Es ging um Geldwaesche. Herr Dr. Pellbach hat selbst gesagt: ‚Das Geld muss weg, sonst kriegt es der Insolvenzverwalter später.' Diese Worte hat er gesagt."</w:t>
      </w:r>
    </w:p>
    <w:p>
      <w:pPr>
        <w:jc w:val="left"/>
      </w:pPr>
      <w:r>
        <w:t>(In V1 hatte Zeugin gesagt, Pellbach habe gesagt: "Das ist eine Sicherheits-Liquidität für Wroclaw". In V2 wird daraus eine deutlich belastendere Formulierung mit ausdrücklichem Geldwaschmotiv. Prüfen: Vernehmungsfehler / Suggestion.)</w:t>
      </w:r>
    </w:p>
    <w:p>
      <w:pPr>
        <w:pStyle w:val="Heading3"/>
      </w:pPr>
      <w:r>
        <w:rPr>
          <w:rFonts w:ascii="Times New Roman" w:hAnsi="Times New Roman"/>
        </w:rPr>
        <w:t>2.7 Spesenkomplex / Mahnung November 2024</w:t>
      </w:r>
    </w:p>
    <w:p>
      <w:pPr>
        <w:ind w:left="567"/>
      </w:pPr>
      <w:r>
        <w:rPr>
          <w:b/>
          <w:i/>
        </w:rPr>
        <w:t>V2, Bl. 644:</w:t>
      </w:r>
      <w:r>
        <w:rPr>
          <w:i/>
        </w:rPr>
        <w:t xml:space="preserve"> "Die Mahnung war eine Demütigung. Ich war damals krank und konnte mich nicht ausreichend wehren. Trotzdem: ich sage hier, was ich gesehen habe."</w:t>
      </w:r>
    </w:p>
    <w:p>
      <w:pPr>
        <w:ind w:left="567"/>
      </w:pPr>
      <w:r>
        <w:rPr>
          <w:i/>
        </w:rPr>
        <w:t>Auf Frage OSchA, ob die Mahnung ein Falschbelastungsmotiv begründen könnte:</w:t>
      </w:r>
    </w:p>
    <w:p>
      <w:pPr>
        <w:ind w:left="567"/>
      </w:pPr>
    </w:p>
    <w:p>
      <w:pPr>
        <w:ind w:left="567"/>
      </w:pPr>
      <w:r>
        <w:rPr>
          <w:i/>
        </w:rPr>
        <w:t>"Nein. Das ist Vergangenheit. Ich habe einen neuen Job, mir geht es darum, dass die Wahrheit ans Licht kommt."</w:t>
      </w:r>
    </w:p>
    <w:p/>
    <w:p>
      <w:pPr>
        <w:pStyle w:val="Heading2"/>
      </w:pPr>
      <w:r>
        <w:rPr>
          <w:rFonts w:ascii="Times New Roman" w:hAnsi="Times New Roman"/>
        </w:rPr>
        <w:t>3. Anhang V2: Vorhaltetechnik</w:t>
      </w:r>
    </w:p>
    <w:p>
      <w:pPr>
        <w:jc w:val="left"/>
      </w:pPr>
      <w:r>
        <w:t>In V2 wurden der Zeugin folgende Unterlagen vorgehalten:</w:t>
      </w:r>
    </w:p>
    <w:p>
      <w:pPr>
        <w:pStyle w:val="ListBullet"/>
      </w:pPr>
      <w:r>
        <w:t>Frachtpapierausdrucke Februar 2025 (Bottrop nach Wroclaw)</w:t>
      </w:r>
    </w:p>
    <w:p>
      <w:pPr>
        <w:pStyle w:val="ListBullet"/>
      </w:pPr>
      <w:r>
        <w:t>Hauptbuchausdrucke Privatentnahmen</w:t>
      </w:r>
    </w:p>
    <w:p>
      <w:pPr>
        <w:pStyle w:val="ListBullet"/>
      </w:pPr>
      <w:r>
        <w:t>Lohnbuchhaltung</w:t>
      </w:r>
    </w:p>
    <w:p>
      <w:pPr>
        <w:pStyle w:val="ListBullet"/>
      </w:pPr>
      <w:r>
        <w:t>KfW-Antragsausdruck</w:t>
      </w:r>
    </w:p>
    <w:p>
      <w:pPr>
        <w:pStyle w:val="ListBullet"/>
      </w:pPr>
      <w:r>
        <w:t>USt-Voranmeldungs-Ausdrucke</w:t>
      </w:r>
    </w:p>
    <w:p>
      <w:pPr>
        <w:jc w:val="left"/>
      </w:pPr>
      <w:r>
        <w:t>(Hinweis Verteidiger: Vorhaltetechnik ist methodisch zulässig, kann aber das Erinnerungsbild der Zeugin nachhaltig verändern und Realkennzeichen verdecken. Vgl. Aussagepsychologie zur Suggestionswirkung.)</w:t>
      </w:r>
    </w:p>
    <w:p/>
    <w:p>
      <w:pPr>
        <w:pStyle w:val="Heading2"/>
      </w:pPr>
      <w:r>
        <w:rPr>
          <w:rFonts w:ascii="Times New Roman" w:hAnsi="Times New Roman"/>
        </w:rPr>
        <w:t>4. Schluss / Unterschrift Zeugin V2</w:t>
      </w:r>
    </w:p>
    <w:p>
      <w:pPr>
        <w:ind w:left="567"/>
      </w:pPr>
      <w:r>
        <w:rPr>
          <w:i/>
        </w:rPr>
        <w:t>"Ich habe meine Angaben gewissenhaft präzisiert. Wenn ich in der ersten Vernehmung etwas anders gesagt habe, dann beruht das darauf, dass ich nicht alle Buchhaltungsunterlagen vorliegen hatte. Heute habe ich diese gesehen und kann genauer sagen, was war."</w:t>
      </w:r>
    </w:p>
    <w:p>
      <w:pPr>
        <w:jc w:val="left"/>
      </w:pPr>
      <w:r>
        <w:t xml:space="preserve">Unterschrift Zeugin: </w:t>
      </w:r>
      <w:r>
        <w:rPr>
          <w:b/>
        </w:rPr>
        <w:t>Mira Quasthoff</w:t>
      </w:r>
      <w:r>
        <w:t xml:space="preserve"> (handschriftlich)</w:t>
      </w:r>
    </w:p>
    <w:p>
      <w:pPr>
        <w:jc w:val="left"/>
      </w:pPr>
      <w:r>
        <w:t>Vernehmung beendet: 15:42 Uhr</w:t>
      </w:r>
    </w:p>
    <w:p>
      <w:pPr>
        <w:jc w:val="left"/>
      </w:pPr>
      <w:r>
        <w:t>Protokoll vorgelesen und genehmigt durch Zeugin.</w:t>
      </w:r>
    </w:p>
    <w:p/>
    <w:p>
      <w:pPr>
        <w:pStyle w:val="Heading2"/>
      </w:pPr>
      <w:r>
        <w:rPr>
          <w:rFonts w:ascii="Times New Roman" w:hAnsi="Times New Roman"/>
        </w:rPr>
        <w:t>5. Verteidiger-Beobachtungen V2 (intern, Vellbruck-Knehrkamp)</w:t>
      </w:r>
    </w:p>
    <w:p>
      <w:pPr>
        <w:pStyle w:val="Heading3"/>
      </w:pPr>
      <w:r>
        <w:rPr>
          <w:rFonts w:ascii="Times New Roman" w:hAnsi="Times New Roman"/>
        </w:rPr>
        <w:t>5.1 Massive Inkonsistenzen V1 vs. V2</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V1</w:t>
            </w:r>
          </w:p>
        </w:tc>
        <w:tc>
          <w:tcPr>
            <w:tcW w:type="dxa" w:w="2268"/>
          </w:tcPr>
          <w:p>
            <w:r>
              <w:rPr>
                <w:rFonts w:ascii="Times New Roman" w:hAnsi="Times New Roman"/>
                <w:b/>
                <w:sz w:val="20"/>
              </w:rPr>
              <w:t>V2</w:t>
            </w:r>
          </w:p>
        </w:tc>
        <w:tc>
          <w:tcPr>
            <w:tcW w:type="dxa" w:w="2268"/>
          </w:tcPr>
          <w:p>
            <w:r>
              <w:rPr>
                <w:rFonts w:ascii="Times New Roman" w:hAnsi="Times New Roman"/>
                <w:b/>
                <w:sz w:val="20"/>
              </w:rPr>
              <w:t>Verschiebung</w:t>
            </w:r>
          </w:p>
        </w:tc>
      </w:tr>
      <w:tr>
        <w:tc>
          <w:tcPr>
            <w:tcW w:type="dxa" w:w="2268"/>
          </w:tcPr>
          <w:p>
            <w:r>
              <w:rPr>
                <w:rFonts w:ascii="Times New Roman" w:hAnsi="Times New Roman"/>
                <w:sz w:val="20"/>
              </w:rPr>
              <w:t>Hauptmenge Lagerverbringung</w:t>
            </w:r>
          </w:p>
        </w:tc>
        <w:tc>
          <w:tcPr>
            <w:tcW w:type="dxa" w:w="2268"/>
          </w:tcPr>
          <w:p>
            <w:r>
              <w:rPr>
                <w:rFonts w:ascii="Times New Roman" w:hAnsi="Times New Roman"/>
                <w:sz w:val="20"/>
              </w:rPr>
              <w:t>Januar 2025, um 20.01., "20-25 Lkw"</w:t>
            </w:r>
          </w:p>
        </w:tc>
        <w:tc>
          <w:tcPr>
            <w:tcW w:type="dxa" w:w="2268"/>
          </w:tcPr>
          <w:p>
            <w:r>
              <w:rPr>
                <w:rFonts w:ascii="Times New Roman" w:hAnsi="Times New Roman"/>
                <w:sz w:val="20"/>
              </w:rPr>
              <w:t>Februar 2025, ab 15.02., konkrete Frachttage</w:t>
            </w:r>
          </w:p>
        </w:tc>
        <w:tc>
          <w:tcPr>
            <w:tcW w:type="dxa" w:w="2268"/>
          </w:tcPr>
          <w:p>
            <w:r>
              <w:rPr>
                <w:rFonts w:ascii="Times New Roman" w:hAnsi="Times New Roman"/>
                <w:sz w:val="20"/>
              </w:rPr>
              <w:t>ca. 25 Tage Verschiebung; Hauptbelastung zeitlich anders verortet</w:t>
            </w:r>
          </w:p>
        </w:tc>
      </w:tr>
      <w:tr>
        <w:tc>
          <w:tcPr>
            <w:tcW w:type="dxa" w:w="2268"/>
          </w:tcPr>
          <w:p>
            <w:r>
              <w:rPr>
                <w:rFonts w:ascii="Times New Roman" w:hAnsi="Times New Roman"/>
                <w:sz w:val="20"/>
              </w:rPr>
              <w:t>Privatentnahmen Nov 24</w:t>
            </w:r>
          </w:p>
        </w:tc>
        <w:tc>
          <w:tcPr>
            <w:tcW w:type="dxa" w:w="2268"/>
          </w:tcPr>
          <w:p>
            <w:r>
              <w:rPr>
                <w:rFonts w:ascii="Times New Roman" w:hAnsi="Times New Roman"/>
                <w:sz w:val="20"/>
              </w:rPr>
              <w:t>80.000 EUR (eine Entnahme)</w:t>
            </w:r>
          </w:p>
        </w:tc>
        <w:tc>
          <w:tcPr>
            <w:tcW w:type="dxa" w:w="2268"/>
          </w:tcPr>
          <w:p>
            <w:r>
              <w:rPr>
                <w:rFonts w:ascii="Times New Roman" w:hAnsi="Times New Roman"/>
                <w:sz w:val="20"/>
              </w:rPr>
              <w:t>80.000 + 45.000 EUR (zwei Entnahmen)</w:t>
            </w:r>
          </w:p>
        </w:tc>
        <w:tc>
          <w:tcPr>
            <w:tcW w:type="dxa" w:w="2268"/>
          </w:tcPr>
          <w:p>
            <w:r>
              <w:rPr>
                <w:rFonts w:ascii="Times New Roman" w:hAnsi="Times New Roman"/>
                <w:sz w:val="20"/>
              </w:rPr>
              <w:t>Erhöhung um 45.000 EUR, neue Tat-Einheit</w:t>
            </w:r>
          </w:p>
        </w:tc>
      </w:tr>
      <w:tr>
        <w:tc>
          <w:tcPr>
            <w:tcW w:type="dxa" w:w="2268"/>
          </w:tcPr>
          <w:p>
            <w:r>
              <w:rPr>
                <w:rFonts w:ascii="Times New Roman" w:hAnsi="Times New Roman"/>
                <w:sz w:val="20"/>
              </w:rPr>
              <w:t>Privatentnahmen Dez 24</w:t>
            </w:r>
          </w:p>
        </w:tc>
        <w:tc>
          <w:tcPr>
            <w:tcW w:type="dxa" w:w="2268"/>
          </w:tcPr>
          <w:p>
            <w:r>
              <w:rPr>
                <w:rFonts w:ascii="Times New Roman" w:hAnsi="Times New Roman"/>
                <w:sz w:val="20"/>
              </w:rPr>
              <w:t>"so um 100.000 EUR"</w:t>
            </w:r>
          </w:p>
        </w:tc>
        <w:tc>
          <w:tcPr>
            <w:tcW w:type="dxa" w:w="2268"/>
          </w:tcPr>
          <w:p>
            <w:r>
              <w:rPr>
                <w:rFonts w:ascii="Times New Roman" w:hAnsi="Times New Roman"/>
                <w:sz w:val="20"/>
              </w:rPr>
              <w:t>exakt 120.000 EUR</w:t>
            </w:r>
          </w:p>
        </w:tc>
        <w:tc>
          <w:tcPr>
            <w:tcW w:type="dxa" w:w="2268"/>
          </w:tcPr>
          <w:p>
            <w:r>
              <w:rPr>
                <w:rFonts w:ascii="Times New Roman" w:hAnsi="Times New Roman"/>
                <w:sz w:val="20"/>
              </w:rPr>
              <w:t>Erhöhung um 20.000 EUR</w:t>
            </w:r>
          </w:p>
        </w:tc>
      </w:tr>
      <w:tr>
        <w:tc>
          <w:tcPr>
            <w:tcW w:type="dxa" w:w="2268"/>
          </w:tcPr>
          <w:p>
            <w:r>
              <w:rPr>
                <w:rFonts w:ascii="Times New Roman" w:hAnsi="Times New Roman"/>
                <w:sz w:val="20"/>
              </w:rPr>
              <w:t>Lohnauszahlungsquote</w:t>
            </w:r>
          </w:p>
        </w:tc>
        <w:tc>
          <w:tcPr>
            <w:tcW w:type="dxa" w:w="2268"/>
          </w:tcPr>
          <w:p>
            <w:r>
              <w:rPr>
                <w:rFonts w:ascii="Times New Roman" w:hAnsi="Times New Roman"/>
                <w:sz w:val="20"/>
              </w:rPr>
              <w:t>70 %</w:t>
            </w:r>
          </w:p>
        </w:tc>
        <w:tc>
          <w:tcPr>
            <w:tcW w:type="dxa" w:w="2268"/>
          </w:tcPr>
          <w:p>
            <w:r>
              <w:rPr>
                <w:rFonts w:ascii="Times New Roman" w:hAnsi="Times New Roman"/>
                <w:sz w:val="20"/>
              </w:rPr>
              <w:t>65 %</w:t>
            </w:r>
          </w:p>
        </w:tc>
        <w:tc>
          <w:tcPr>
            <w:tcW w:type="dxa" w:w="2268"/>
          </w:tcPr>
          <w:p>
            <w:r>
              <w:rPr>
                <w:rFonts w:ascii="Times New Roman" w:hAnsi="Times New Roman"/>
                <w:sz w:val="20"/>
              </w:rPr>
              <w:t>Korrektur</w:t>
            </w:r>
          </w:p>
        </w:tc>
      </w:tr>
      <w:tr>
        <w:tc>
          <w:tcPr>
            <w:tcW w:type="dxa" w:w="2268"/>
          </w:tcPr>
          <w:p>
            <w:r>
              <w:rPr>
                <w:rFonts w:ascii="Times New Roman" w:hAnsi="Times New Roman"/>
                <w:sz w:val="20"/>
              </w:rPr>
              <w:t>USt-Voranmeldungen Vorgaben</w:t>
            </w:r>
          </w:p>
        </w:tc>
        <w:tc>
          <w:tcPr>
            <w:tcW w:type="dxa" w:w="2268"/>
          </w:tcPr>
          <w:p>
            <w:r>
              <w:rPr>
                <w:rFonts w:ascii="Times New Roman" w:hAnsi="Times New Roman"/>
                <w:sz w:val="20"/>
              </w:rPr>
              <w:t>"von Herrn Engelmeier"</w:t>
            </w:r>
          </w:p>
        </w:tc>
        <w:tc>
          <w:tcPr>
            <w:tcW w:type="dxa" w:w="2268"/>
          </w:tcPr>
          <w:p>
            <w:r>
              <w:rPr>
                <w:rFonts w:ascii="Times New Roman" w:hAnsi="Times New Roman"/>
                <w:sz w:val="20"/>
              </w:rPr>
              <w:t>"von Pellbach, Engelmeier nur übernommen"</w:t>
            </w:r>
          </w:p>
        </w:tc>
        <w:tc>
          <w:tcPr>
            <w:tcW w:type="dxa" w:w="2268"/>
          </w:tcPr>
          <w:p>
            <w:r>
              <w:rPr>
                <w:rFonts w:ascii="Times New Roman" w:hAnsi="Times New Roman"/>
                <w:sz w:val="20"/>
              </w:rPr>
              <w:t>Substantielle Belastungsverstärkung</w:t>
            </w:r>
          </w:p>
        </w:tc>
      </w:tr>
      <w:tr>
        <w:tc>
          <w:tcPr>
            <w:tcW w:type="dxa" w:w="2268"/>
          </w:tcPr>
          <w:p>
            <w:r>
              <w:rPr>
                <w:rFonts w:ascii="Times New Roman" w:hAnsi="Times New Roman"/>
                <w:sz w:val="20"/>
              </w:rPr>
              <w:t>KfW-Antrag</w:t>
            </w:r>
          </w:p>
        </w:tc>
        <w:tc>
          <w:tcPr>
            <w:tcW w:type="dxa" w:w="2268"/>
          </w:tcPr>
          <w:p>
            <w:r>
              <w:rPr>
                <w:rFonts w:ascii="Times New Roman" w:hAnsi="Times New Roman"/>
                <w:sz w:val="20"/>
              </w:rPr>
              <w:t>"habe ich nur am Rande mitbekommen"</w:t>
            </w:r>
          </w:p>
        </w:tc>
        <w:tc>
          <w:tcPr>
            <w:tcW w:type="dxa" w:w="2268"/>
          </w:tcPr>
          <w:p>
            <w:r>
              <w:rPr>
                <w:rFonts w:ascii="Times New Roman" w:hAnsi="Times New Roman"/>
                <w:sz w:val="20"/>
              </w:rPr>
              <w:t>"ich habe Herrn Dr. Pellbach geholfen, die Zahlen einzutragen"</w:t>
            </w:r>
          </w:p>
        </w:tc>
        <w:tc>
          <w:tcPr>
            <w:tcW w:type="dxa" w:w="2268"/>
          </w:tcPr>
          <w:p>
            <w:r>
              <w:rPr>
                <w:rFonts w:ascii="Times New Roman" w:hAnsi="Times New Roman"/>
                <w:sz w:val="20"/>
              </w:rPr>
              <w:t>Substantielle Nähe zum Geschehen</w:t>
            </w:r>
          </w:p>
        </w:tc>
      </w:tr>
      <w:tr>
        <w:tc>
          <w:tcPr>
            <w:tcW w:type="dxa" w:w="2268"/>
          </w:tcPr>
          <w:p>
            <w:r>
              <w:rPr>
                <w:rFonts w:ascii="Times New Roman" w:hAnsi="Times New Roman"/>
                <w:sz w:val="20"/>
              </w:rPr>
              <w:t>Wroclaw 120k EUR Begründung Pellbach</w:t>
            </w:r>
          </w:p>
        </w:tc>
        <w:tc>
          <w:tcPr>
            <w:tcW w:type="dxa" w:w="2268"/>
          </w:tcPr>
          <w:p>
            <w:r>
              <w:rPr>
                <w:rFonts w:ascii="Times New Roman" w:hAnsi="Times New Roman"/>
                <w:sz w:val="20"/>
              </w:rPr>
              <w:t>"Sicherheits-Liquidität für Wroclaw"</w:t>
            </w:r>
          </w:p>
        </w:tc>
        <w:tc>
          <w:tcPr>
            <w:tcW w:type="dxa" w:w="2268"/>
          </w:tcPr>
          <w:p>
            <w:r>
              <w:rPr>
                <w:rFonts w:ascii="Times New Roman" w:hAnsi="Times New Roman"/>
                <w:sz w:val="20"/>
              </w:rPr>
              <w:t>"Das Geld muss weg, sonst kriegt es der Insolvenzverwalter"</w:t>
            </w:r>
          </w:p>
        </w:tc>
        <w:tc>
          <w:tcPr>
            <w:tcW w:type="dxa" w:w="2268"/>
          </w:tcPr>
          <w:p>
            <w:r>
              <w:rPr>
                <w:rFonts w:ascii="Times New Roman" w:hAnsi="Times New Roman"/>
                <w:sz w:val="20"/>
              </w:rPr>
              <w:t>Verschiebung von neutraler Begründung zu wortwörtlichem Geldwaschmotiv</w:t>
            </w:r>
          </w:p>
        </w:tc>
      </w:tr>
    </w:tbl>
    <w:p>
      <w:pPr>
        <w:pStyle w:val="Heading3"/>
      </w:pPr>
      <w:r>
        <w:rPr>
          <w:rFonts w:ascii="Times New Roman" w:hAnsi="Times New Roman"/>
        </w:rPr>
        <w:t>5.2 Realkennzeichen V2</w:t>
      </w:r>
    </w:p>
    <w:p>
      <w:pPr>
        <w:jc w:val="left"/>
      </w:pPr>
      <w:r>
        <w:t xml:space="preserve">Aussage V2 ist eher </w:t>
      </w:r>
      <w:r>
        <w:rPr>
          <w:b/>
        </w:rPr>
        <w:t>konturiert</w:t>
      </w:r>
      <w:r>
        <w:t xml:space="preserve"> (chronologisch, datumssicher), aber wenig anschaulich. Es fehlen weiterhin:</w:t>
      </w:r>
    </w:p>
    <w:p>
      <w:pPr>
        <w:pStyle w:val="ListBullet"/>
      </w:pPr>
      <w:r>
        <w:t>raumzeitliche Verknüpfungen (wo war Zeugin als sie Lkw-Frachtpapiere sah?),</w:t>
      </w:r>
    </w:p>
    <w:p>
      <w:pPr>
        <w:pStyle w:val="ListBullet"/>
      </w:pPr>
      <w:r>
        <w:t>Schilderungen sensorischer Details (Geräusch, Geruch, Empfindungen),</w:t>
      </w:r>
    </w:p>
    <w:p>
      <w:pPr>
        <w:pStyle w:val="ListBullet"/>
      </w:pPr>
      <w:r>
        <w:t>ungewöhnliche Einzelheiten (nicht-stereotype Details),</w:t>
      </w:r>
    </w:p>
    <w:p>
      <w:pPr>
        <w:pStyle w:val="ListBullet"/>
      </w:pPr>
      <w:r>
        <w:t>spontane Korrekturen oder Unsicherheitsmarker ("Ich glaube …", "wenn ich mich nicht irre").</w:t>
      </w:r>
    </w:p>
    <w:p>
      <w:pPr>
        <w:jc w:val="left"/>
      </w:pPr>
      <w:r>
        <w:t xml:space="preserve">Statt dessen: nach Vorhalt-Bestätigung kommt jeweils "ja, das passt zu meiner Erinnerung". Klassisches Indiz für </w:t>
      </w:r>
      <w:r>
        <w:rPr>
          <w:b/>
        </w:rPr>
        <w:t>Akkommodation an Vorhalt</w:t>
      </w:r>
      <w:r>
        <w:t xml:space="preserve"> statt eigene Erinnerung. Aussagepsychologisch problematisch.</w:t>
      </w:r>
    </w:p>
    <w:p>
      <w:pPr>
        <w:pStyle w:val="Heading3"/>
      </w:pPr>
      <w:r>
        <w:rPr>
          <w:rFonts w:ascii="Times New Roman" w:hAnsi="Times New Roman"/>
        </w:rPr>
        <w:t>5.3 Strategische Konsequenz</w:t>
      </w:r>
    </w:p>
    <w:p>
      <w:pPr>
        <w:jc w:val="left"/>
      </w:pPr>
      <w:r>
        <w:t>Hilfsbeweisantrag § 244 III StPO auf aussagepsychologisches Gutachten ist tragfähig.</w:t>
      </w:r>
    </w:p>
    <w:p>
      <w:pPr>
        <w:pStyle w:val="ListBullet"/>
      </w:pPr>
      <w:r>
        <w:t>Hypothese A (Anklagehypothese): Quasthoff erinnert tatsächlich.</w:t>
      </w:r>
    </w:p>
    <w:p>
      <w:pPr>
        <w:pStyle w:val="ListBullet"/>
      </w:pPr>
      <w:r>
        <w:t>Hypothese B (Alternative): Quasthoff hat in V1 nicht-belastend in V2 nach Vorhalt belastender ausgesagt, was Suggestionseffekt nahelegt.</w:t>
      </w:r>
    </w:p>
    <w:p>
      <w:pPr>
        <w:pStyle w:val="ListBullet"/>
      </w:pPr>
      <w:r>
        <w:t>Hypothese C (Falschbelastung): Quasthoff belastet gezielt nach Spesen-Mahnung von 11/2024.</w:t>
      </w:r>
    </w:p>
    <w:p>
      <w:pPr>
        <w:jc w:val="left"/>
      </w:pPr>
      <w:r>
        <w:t xml:space="preserve">Vgl. </w:t>
      </w:r>
      <w:r>
        <w:t>08_aussagepsychologische_analyse_quasthoff_entwurf.md</w:t>
      </w:r>
      <w:r>
        <w:t xml:space="preserve"> (Hypothesen-gegen-Hypothesen-Methode).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