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Aussagepsychologische Vor-Analyse Mira Quasthoff (Verteidigerinterner Entwurf)</w:t>
      </w:r>
    </w:p>
    <w:p>
      <w:pPr>
        <w:jc w:val="left"/>
      </w:pPr>
      <w:r>
        <w:rPr>
          <w:b/>
        </w:rPr>
        <w:t>Vellbruck Strafverteidigung Koeln</w:t>
      </w:r>
    </w:p>
    <w:p>
      <w:pPr>
        <w:jc w:val="left"/>
      </w:pPr>
      <w:r>
        <w:rPr>
          <w:b/>
        </w:rPr>
        <w:t>Vertraulich — Anwaltsgeheimnis § 53 StPO</w:t>
      </w:r>
    </w:p>
    <w:p>
      <w:pPr>
        <w:jc w:val="left"/>
      </w:pPr>
      <w:r>
        <w:t>Erstellt: Dr. Vellbruck-Eisinger / RA Knehrkamp</w:t>
      </w:r>
    </w:p>
    <w:p>
      <w:pPr>
        <w:jc w:val="left"/>
      </w:pPr>
      <w:r>
        <w:t>Datum: 27. Mai 2026</w:t>
      </w:r>
    </w:p>
    <w:p>
      <w:pPr>
        <w:jc w:val="left"/>
      </w:pPr>
      <w:r>
        <w:t>Az.: 117 KLs 14/26 / 122 Js 884/25</w:t>
      </w:r>
    </w:p>
    <w:p>
      <w:pPr>
        <w:jc w:val="left"/>
      </w:pPr>
      <w:r>
        <w:rPr>
          <w:b/>
        </w:rPr>
        <w:t>Zweck:</w:t>
      </w:r>
      <w:r>
        <w:t xml:space="preserve"> Interne Vor-Analyse zur Vorbereitung des Hilfsbeweisantrags auf aussagepsychologisches Sachverstaendigengutachten (§ 244 III StPO) — siehe Akte 22. Diese Vor-Analyse ersetzt </w:t>
      </w:r>
      <w:r>
        <w:rPr>
          <w:b/>
        </w:rPr>
        <w:t>kein</w:t>
      </w:r>
      <w:r>
        <w:t xml:space="preserve"> Sachverstaendigengutachten; sie folgt methodisch der BGH-Linie zur aussagepsychologischen Begutachtung (BGH 1 StR 618/98, BGHSt 45, 164, Verifikation in amtlicher Quelle erforderlich) und nutzt Realkennzeichen nach Steller/Koehnken.</w:t>
      </w:r>
    </w:p>
    <w:p/>
    <w:p>
      <w:pPr>
        <w:pStyle w:val="Heading2"/>
      </w:pPr>
      <w:r>
        <w:rPr>
          <w:rFonts w:ascii="Times New Roman" w:hAnsi="Times New Roman"/>
        </w:rPr>
        <w:t>1. Methodische Grundsätze</w:t>
      </w:r>
    </w:p>
    <w:p>
      <w:pPr>
        <w:pStyle w:val="Heading3"/>
      </w:pPr>
      <w:r>
        <w:rPr>
          <w:rFonts w:ascii="Times New Roman" w:hAnsi="Times New Roman"/>
        </w:rPr>
        <w:t>1.1 Glaubhaftigkeit (Aussage) vs. Glaubwürdigkeit (Person)</w:t>
      </w:r>
    </w:p>
    <w:p>
      <w:pPr>
        <w:jc w:val="left"/>
      </w:pPr>
      <w:r>
        <w:rPr>
          <w:b/>
        </w:rPr>
        <w:t>Glaubhaftigkeit</w:t>
      </w:r>
      <w:r>
        <w:t xml:space="preserve"> bezieht sich auf eine konkrete Aussage und prüft, ob sie auf eigenem Erleben beruht. </w:t>
      </w:r>
      <w:r>
        <w:rPr>
          <w:b/>
        </w:rPr>
        <w:t>Glaubwürdigkeit</w:t>
      </w:r>
      <w:r>
        <w:t xml:space="preserve"> bezieht sich auf die Person und ist eine Globalbeurteilung, die in der modernen Aussagepsychologie nur eingeschränkt zulässig ist (BGH staend. Rspr.). Wir untersuchen daher </w:t>
      </w:r>
      <w:r>
        <w:rPr>
          <w:b/>
        </w:rPr>
        <w:t>konkrete Aussagen Quasthoffs</w:t>
      </w:r>
      <w:r>
        <w:t xml:space="preserve"> (V1, V2) in ihrer Glaubhaftigkeit, nicht ihre Person als Ganzes.</w:t>
      </w:r>
    </w:p>
    <w:p>
      <w:pPr>
        <w:pStyle w:val="Heading3"/>
      </w:pPr>
      <w:r>
        <w:rPr>
          <w:rFonts w:ascii="Times New Roman" w:hAnsi="Times New Roman"/>
        </w:rPr>
        <w:t>1.2 Hypothesen-gegen-Hypothesen-Methode</w:t>
      </w:r>
    </w:p>
    <w:p>
      <w:pPr>
        <w:jc w:val="left"/>
      </w:pPr>
      <w:r>
        <w:t>Diese ist der methodische Standard. Wir bilden:</w:t>
      </w:r>
    </w:p>
    <w:p>
      <w:pPr>
        <w:pStyle w:val="ListBullet"/>
      </w:pPr>
      <w:r>
        <w:rPr>
          <w:b/>
        </w:rPr>
        <w:t>Hypothese A — Wahrnehmungshypothese (Erlebenshypothese):</w:t>
      </w:r>
      <w:r>
        <w:t xml:space="preserve"> Quasthoff schildert eigene Wahrnehmungen wahrheitsgemaess.</w:t>
      </w:r>
    </w:p>
    <w:p>
      <w:pPr>
        <w:pStyle w:val="ListBullet"/>
      </w:pPr>
      <w:r>
        <w:rPr>
          <w:b/>
        </w:rPr>
        <w:t>Hypothese B — Suggestionshypothese (Akkommodation):</w:t>
      </w:r>
      <w:r>
        <w:t xml:space="preserve"> Quasthoff war ursprünglich unsicher (V1) und hat sich in V2 an Vorhalte der StA angepasst (Erinnerungs-Verformung).</w:t>
      </w:r>
    </w:p>
    <w:p>
      <w:pPr>
        <w:pStyle w:val="ListBullet"/>
      </w:pPr>
      <w:r>
        <w:rPr>
          <w:b/>
        </w:rPr>
        <w:t>Hypothese C — Falschbelastungshypothese (intentionale Lüge):</w:t>
      </w:r>
      <w:r>
        <w:t xml:space="preserve"> Quasthoff belastet aus Motiv (Spesen-Mahnung 11/2024, Aufhebungsvertrag, Demütigung), nicht aus Wahrheit.</w:t>
      </w:r>
    </w:p>
    <w:p>
      <w:pPr>
        <w:pStyle w:val="ListBullet"/>
      </w:pPr>
      <w:r>
        <w:rPr>
          <w:b/>
        </w:rPr>
        <w:t>Hypothese D — Hybrid:</w:t>
      </w:r>
      <w:r>
        <w:t xml:space="preserve"> Teilbereiche wahr, andere falsch oder akkommodiert.</w:t>
      </w:r>
    </w:p>
    <w:p>
      <w:pPr>
        <w:jc w:val="left"/>
      </w:pPr>
      <w:r>
        <w:t>Eine Aussage ist nur dann als glaubhaft zu werten, wenn die Wahrnehmungshypothese nicht durch konkurrierende Hypothesen plausibler erklärt werden kann.</w:t>
      </w:r>
    </w:p>
    <w:p>
      <w:pPr>
        <w:pStyle w:val="Heading3"/>
      </w:pPr>
      <w:r>
        <w:rPr>
          <w:rFonts w:ascii="Times New Roman" w:hAnsi="Times New Roman"/>
        </w:rPr>
        <w:t>1.3 Realkennzeichen nach Steller/Koehnken</w:t>
      </w:r>
    </w:p>
    <w:p>
      <w:pPr>
        <w:jc w:val="left"/>
      </w:pPr>
      <w:r>
        <w:t>Erlebnis-basierte Aussagen weisen typischerweise auf:</w:t>
      </w:r>
    </w:p>
    <w:p>
      <w:pPr>
        <w:pStyle w:val="ListBullet"/>
      </w:pPr>
      <w:r>
        <w:rPr>
          <w:b/>
        </w:rPr>
        <w:t>Allgemeine Merkmale:</w:t>
      </w:r>
      <w:r>
        <w:t xml:space="preserve"> logischer Aufbau, ungeordnete sprunghafte Darstellung, quantitativer Detailreichtum.</w:t>
      </w:r>
    </w:p>
    <w:p>
      <w:pPr>
        <w:pStyle w:val="ListBullet"/>
      </w:pPr>
      <w:r>
        <w:rPr>
          <w:b/>
        </w:rPr>
        <w:t>Spezielle Inhalte:</w:t>
      </w:r>
      <w:r>
        <w:t xml:space="preserve"> raumzeitliche Verknüpfungen, Schilderung von Interaktionen, Wiedergabe von Gesprächen, ungewöhnliche Einzelheiten, ausgefallene Details, Schilderung eigener mentaler Vorgänge.</w:t>
      </w:r>
    </w:p>
    <w:p>
      <w:pPr>
        <w:pStyle w:val="ListBullet"/>
      </w:pPr>
      <w:r>
        <w:rPr>
          <w:b/>
        </w:rPr>
        <w:t>Inhaltliche Besonderheiten:</w:t>
      </w:r>
      <w:r>
        <w:t xml:space="preserve"> spontane Verbesserungen, Eingeständnisse von Erinnerungslücken, Selbstbelastungen, entlastende Details für den Beschuldigten.</w:t>
      </w:r>
    </w:p>
    <w:p>
      <w:pPr>
        <w:pStyle w:val="ListBullet"/>
      </w:pPr>
      <w:r>
        <w:rPr>
          <w:b/>
        </w:rPr>
        <w:t>Aussageinhaltliche Eigenheiten:</w:t>
      </w:r>
      <w:r>
        <w:t xml:space="preserve"> deliktspezifische Aussageelemente.</w:t>
      </w:r>
    </w:p>
    <w:p>
      <w:pPr>
        <w:jc w:val="left"/>
      </w:pPr>
      <w:r>
        <w:t>Erfundene Aussagen weisen typischerweise auf:</w:t>
      </w:r>
    </w:p>
    <w:p>
      <w:pPr>
        <w:pStyle w:val="ListBullet"/>
      </w:pPr>
      <w:r>
        <w:t>stereotyper Aufbau,</w:t>
      </w:r>
    </w:p>
    <w:p>
      <w:pPr>
        <w:pStyle w:val="ListBullet"/>
      </w:pPr>
      <w:r>
        <w:t>arme Detailfülle,</w:t>
      </w:r>
    </w:p>
    <w:p>
      <w:pPr>
        <w:pStyle w:val="ListBullet"/>
      </w:pPr>
      <w:r>
        <w:t>fehlende sensorische Schilderung,</w:t>
      </w:r>
    </w:p>
    <w:p>
      <w:pPr>
        <w:pStyle w:val="ListBullet"/>
      </w:pPr>
      <w:r>
        <w:t>starke Belastungstendenz,</w:t>
      </w:r>
    </w:p>
    <w:p>
      <w:pPr>
        <w:pStyle w:val="ListBullet"/>
      </w:pPr>
      <w:r>
        <w:t>glatte chronologische Stringenz.</w:t>
      </w:r>
    </w:p>
    <w:p/>
    <w:p>
      <w:pPr>
        <w:pStyle w:val="Heading2"/>
      </w:pPr>
      <w:r>
        <w:rPr>
          <w:rFonts w:ascii="Times New Roman" w:hAnsi="Times New Roman"/>
        </w:rPr>
        <w:t>2. Anwendung auf V1 / V2 Quasthoff</w:t>
      </w:r>
    </w:p>
    <w:p>
      <w:pPr>
        <w:pStyle w:val="Heading3"/>
      </w:pPr>
      <w:r>
        <w:rPr>
          <w:rFonts w:ascii="Times New Roman" w:hAnsi="Times New Roman"/>
        </w:rPr>
        <w:t>2.1 Realkennzeichenanalyse — Selektive Vor-Auswertung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Realkennzeichen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Logischer Aufbau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Quantitativer Detailreichtum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mittel-hoch (nach Vorhalt)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Sprunghaftigkeit / Lebendigkeit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Raumzeitliche Verknüpfungen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Wiedergabe von Interaktion / Gespräch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wenige; vorhanden (Spesen-Mahnung)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wörtliche Wiedergabe Pellbach (Wroclaw-Zahlung) — auffällig </w:t>
            </w:r>
            <w:r>
              <w:rPr>
                <w:rFonts w:ascii="Times New Roman" w:hAnsi="Times New Roman"/>
                <w:b/>
                <w:sz w:val="20"/>
              </w:rPr>
              <w:t>uebermarkant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Schilderung eigener mentaler Vorgänge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knapp ("ich war beunruhigt")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knapp ("ich war krank, demütigt")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Ungewöhnliche / nicht-stereotype Details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Spontane Verbesserungen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(V1: "ich glaube")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(V2: "ich erinnere mich jetzt: 120.000") — aber nur nach Vorhalt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Eingeständnis Erinnerungslücken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(V1: "wenn Details unsicher sind")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(V2: stets sicher nach Vorhalt)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Selbstbelastung / entlastende Details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wenige (V1: bei USt "war mir nicht wohl")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KfW-Komplex: V2 räumt deutlich mehr Eigenbeteiligung 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Belastungstendenz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(insbes. Wroclaw-Wortlaut)</w:t>
            </w:r>
          </w:p>
        </w:tc>
      </w:tr>
    </w:tbl>
    <w:p>
      <w:pPr>
        <w:jc w:val="left"/>
      </w:pPr>
      <w:r>
        <w:rPr>
          <w:b/>
        </w:rPr>
        <w:t>Befund:</w:t>
      </w:r>
      <w:r>
        <w:t xml:space="preserve"> In V2 nimmt die Belastungstendenz zu, gleichzeitig sinken Unsicherheitsmarker und Erinnerungslücken. Klassisch </w:t>
      </w:r>
      <w:r>
        <w:rPr>
          <w:b/>
        </w:rPr>
        <w:t>akkommodierte Aussage</w:t>
      </w:r>
      <w:r>
        <w:t xml:space="preserve"> nach Vorhalt.</w:t>
      </w:r>
    </w:p>
    <w:p>
      <w:pPr>
        <w:pStyle w:val="Heading3"/>
      </w:pPr>
      <w:r>
        <w:rPr>
          <w:rFonts w:ascii="Times New Roman" w:hAnsi="Times New Roman"/>
        </w:rPr>
        <w:t>2.2 Konstanzanalyse V1 vs. V2</w:t>
      </w:r>
    </w:p>
    <w:p>
      <w:pPr>
        <w:jc w:val="left"/>
      </w:pPr>
      <w:r>
        <w:t xml:space="preserve">Konstanz ist ein zentrales Realkennzeichen. Inkonsistenzen in </w:t>
      </w:r>
      <w:r>
        <w:rPr>
          <w:b/>
        </w:rPr>
        <w:t>Kernpunkten</w:t>
      </w:r>
      <w:r>
        <w:t xml:space="preserve"> schwächen die Aussage; Inkonsistenzen in </w:t>
      </w:r>
      <w:r>
        <w:rPr>
          <w:b/>
        </w:rPr>
        <w:t>Randdetails</w:t>
      </w:r>
      <w:r>
        <w:t xml:space="preserve"> können Realitätsbezug indizieren.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Konstanzpunkt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Datum Lagerverbringung (Januar V1 / Februar V2, </w:t>
            </w:r>
            <w:r>
              <w:rPr>
                <w:rFonts w:ascii="Times New Roman" w:hAnsi="Times New Roman"/>
                <w:b/>
                <w:sz w:val="20"/>
              </w:rPr>
              <w:t>Verschiebung ca. 25 Tage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Kernpunkt</w:t>
            </w:r>
            <w:r>
              <w:rPr>
                <w:rFonts w:ascii="Times New Roman" w:hAnsi="Times New Roman"/>
                <w:sz w:val="20"/>
              </w:rPr>
              <w:t xml:space="preserve"> — Inkonsistenz schwer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Anzahl Privatentnahmen November (1 V1 / 2 V2)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Kernpunkt</w:t>
            </w:r>
            <w:r>
              <w:rPr>
                <w:rFonts w:ascii="Times New Roman" w:hAnsi="Times New Roman"/>
                <w:sz w:val="20"/>
              </w:rPr>
              <w:t xml:space="preserve"> — Inkonsistenz schwer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Höhe Privatentnahme Dezember (100k V1 / 120k V2)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Lohnquote (70 % / 65 %)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Randdetail — eher entlastend, da kleine Korrektur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USt-Voranmeldung Vorgaben (Engelmeier / Pellbach)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Kernpunkt</w:t>
            </w:r>
            <w:r>
              <w:rPr>
                <w:rFonts w:ascii="Times New Roman" w:hAnsi="Times New Roman"/>
                <w:sz w:val="20"/>
              </w:rPr>
              <w:t xml:space="preserve"> — Inkonsistenz schwer; Belastungsumschichtung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KfW-Antrag Eigenbeteiligung ("am Rande" / "Zahlen geholfen")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Kernpunkt</w:t>
            </w:r>
            <w:r>
              <w:rPr>
                <w:rFonts w:ascii="Times New Roman" w:hAnsi="Times New Roman"/>
                <w:sz w:val="20"/>
              </w:rPr>
              <w:t xml:space="preserve"> — Inkonsistenz schwer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Wroclaw 120k Wortlaut Pellbach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Kernpunkt</w:t>
            </w:r>
            <w:r>
              <w:rPr>
                <w:rFonts w:ascii="Times New Roman" w:hAnsi="Times New Roman"/>
                <w:sz w:val="20"/>
              </w:rPr>
              <w:t xml:space="preserve"> — V2-Wortlaut zu spät aufgetaucht, suggestiv</w:t>
            </w:r>
          </w:p>
        </w:tc>
      </w:tr>
    </w:tbl>
    <w:p>
      <w:pPr>
        <w:jc w:val="left"/>
      </w:pPr>
      <w:r>
        <w:rPr>
          <w:b/>
        </w:rPr>
        <w:t>Befund:</w:t>
      </w:r>
      <w:r>
        <w:t xml:space="preserve"> </w:t>
      </w:r>
      <w:r>
        <w:rPr>
          <w:b/>
        </w:rPr>
        <w:t>Mindestens 5 von 7 Konstanzpunkten</w:t>
      </w:r>
      <w:r>
        <w:t xml:space="preserve"> im Kernbereich inkonsistent. Aussagepsychologisch ist das ein erhebliches Indiz für Akkommodation oder gezielte Belastung.</w:t>
      </w:r>
    </w:p>
    <w:p>
      <w:pPr>
        <w:pStyle w:val="Heading3"/>
      </w:pPr>
      <w:r>
        <w:rPr>
          <w:rFonts w:ascii="Times New Roman" w:hAnsi="Times New Roman"/>
        </w:rPr>
        <w:t>2.3 Motivanalyse / Falschbelastungsmotiv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Indikator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Ausprägung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Vorgeschichte konflikthaft?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Mahnung Spesen 03.11.2024, Aufhebungsvertrag, 22k EUR Abfindung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Eigenstrafbarkeit?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USt-Voranmeldungen erkennbar (Mit-Erstellerin) — V2 schiebt Verantwortung auf Pellbach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Eigeninteresse?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neuer Arbeitgeber, Strafanzeige im Dezember 2025 nachdem Insolvenzverwalter aufgekommen war (Strafanzeige Wagner-Hieronymi 28.10.2025)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Belastungstönung selbst?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"Demütigung" (V2) — Affektsubstrat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Auffälligkeiten Vernehmung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Vorhaltetechnik V2 stark eingesetzt</w:t>
            </w:r>
          </w:p>
        </w:tc>
      </w:tr>
    </w:tbl>
    <w:p>
      <w:pPr>
        <w:jc w:val="left"/>
      </w:pPr>
      <w:r>
        <w:rPr>
          <w:b/>
        </w:rPr>
        <w:t>Befund:</w:t>
      </w:r>
      <w:r>
        <w:t xml:space="preserve"> Motivlage und Verfahrenslage sprechen für relevante Falschbelastungsmöglichkeit, die ein SV-Gutachten klären muss.</w:t>
      </w:r>
    </w:p>
    <w:p>
      <w:pPr>
        <w:pStyle w:val="Heading3"/>
      </w:pPr>
      <w:r>
        <w:rPr>
          <w:rFonts w:ascii="Times New Roman" w:hAnsi="Times New Roman"/>
        </w:rPr>
        <w:t>2.4 Vernehmungsfehler / Suggestion in V2</w:t>
      </w:r>
    </w:p>
    <w:p>
      <w:pPr>
        <w:jc w:val="left"/>
      </w:pPr>
      <w:r>
        <w:t>In V2 wurden Quasthoff systematisch Frachtpapiere, Hauptbuchausdrucke und KfW-Antrag vorgehalten. Vor Vorhalt war Quasthoff bei Lagerverbringung sicher "Januar" — nach Vorhalt der Februar-Frachtpapiere wechselte ihre Aussage auf "Februar".</w:t>
      </w:r>
    </w:p>
    <w:p>
      <w:pPr>
        <w:jc w:val="left"/>
      </w:pPr>
      <w:r>
        <w:rPr>
          <w:b/>
        </w:rPr>
        <w:t>Suggestionseffekt</w:t>
      </w:r>
      <w:r>
        <w:t xml:space="preserve"> ist hier nicht auszuschliessen; vielmehr wahrscheinlich. Vgl. Skill </w:t>
      </w:r>
      <w:r>
        <w:t>strafrecht-spezial-aussagepsychologie-vernehmungsfehler-falschgestaendnis</w:t>
      </w:r>
      <w:r>
        <w:t xml:space="preserve"> und </w:t>
      </w:r>
      <w:r>
        <w:t>strafrecht-spezial-aussagepsychologie-suggestion-und-falscherinnerung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3. Konkurrierende Hypothesen — Detailbewertung</w:t>
      </w:r>
    </w:p>
    <w:p>
      <w:pPr>
        <w:pStyle w:val="Heading3"/>
      </w:pPr>
      <w:r>
        <w:rPr>
          <w:rFonts w:ascii="Times New Roman" w:hAnsi="Times New Roman"/>
        </w:rPr>
        <w:t>Hypothese A (Wahrnehmung)</w:t>
      </w:r>
    </w:p>
    <w:p>
      <w:pPr>
        <w:jc w:val="left"/>
      </w:pPr>
      <w:r>
        <w:t>Pro: Konkrete Datumsangaben in V2, Frachtpapierabgleich passt; Zeugin verfügt über Insiderwissen.</w:t>
      </w:r>
    </w:p>
    <w:p>
      <w:pPr>
        <w:jc w:val="left"/>
      </w:pPr>
      <w:r>
        <w:t>Contra: V1-V2-Inkonsistenz bei Lagerverbringung erheblich; Realkennzeichen geringe Lebendigkeit.</w:t>
      </w:r>
    </w:p>
    <w:p>
      <w:pPr>
        <w:pStyle w:val="Heading3"/>
      </w:pPr>
      <w:r>
        <w:rPr>
          <w:rFonts w:ascii="Times New Roman" w:hAnsi="Times New Roman"/>
        </w:rPr>
        <w:t>Hypothese B (Akkommodation / Suggestion)</w:t>
      </w:r>
    </w:p>
    <w:p>
      <w:pPr>
        <w:jc w:val="left"/>
      </w:pPr>
      <w:r>
        <w:t>Pro: Vorhaltetechnik V2; Verschiebung Januar → Februar nach Frachtpapierabgleich; Verlust von Unsicherheitsmarkern.</w:t>
      </w:r>
    </w:p>
    <w:p>
      <w:pPr>
        <w:jc w:val="left"/>
      </w:pPr>
      <w:r>
        <w:t>Contra: Quasthoff hatte Insiderwissen; Frachtpapiere kannte sie potenziell.</w:t>
      </w:r>
    </w:p>
    <w:p>
      <w:pPr>
        <w:pStyle w:val="Heading3"/>
      </w:pPr>
      <w:r>
        <w:rPr>
          <w:rFonts w:ascii="Times New Roman" w:hAnsi="Times New Roman"/>
        </w:rPr>
        <w:t>Hypothese C (Falschbelastung)</w:t>
      </w:r>
    </w:p>
    <w:p>
      <w:pPr>
        <w:jc w:val="left"/>
      </w:pPr>
      <w:r>
        <w:t>Pro: Mahnung 11/2024, Spesenkomplex, Aufhebungsvertrag, Strafanzeige erst nach Insolvenzverwalter-Anzeige; KfW-Komplex zeigt belastende Verschiebung.</w:t>
      </w:r>
    </w:p>
    <w:p>
      <w:pPr>
        <w:jc w:val="left"/>
      </w:pPr>
      <w:r>
        <w:t>Contra: Quasthoff könnte Eigenstrafbarkeit (USt) auf sich nehmen, was gegen reine Lüge spräche — tut sie aber gerade nicht (sie schiebt auf Engelmeier / Pellbach).</w:t>
      </w:r>
    </w:p>
    <w:p>
      <w:pPr>
        <w:pStyle w:val="Heading3"/>
      </w:pPr>
      <w:r>
        <w:rPr>
          <w:rFonts w:ascii="Times New Roman" w:hAnsi="Times New Roman"/>
        </w:rPr>
        <w:t>Hypothese D (Hybrid)</w:t>
      </w:r>
    </w:p>
    <w:p>
      <w:pPr>
        <w:jc w:val="left"/>
      </w:pPr>
      <w:r>
        <w:t>Plausibel: Lagerverbringung tatsächlich (Frachtpapiere existieren), aber Detailzuschnitt der V2 akkommodiert; KfW-Komplex teilweise Eigeninteresse-getrieben.</w:t>
      </w:r>
    </w:p>
    <w:p>
      <w:pPr>
        <w:jc w:val="left"/>
      </w:pPr>
      <w:r>
        <w:rPr>
          <w:b/>
        </w:rPr>
        <w:t>Vellbruck-Einschätzung:</w:t>
      </w:r>
      <w:r>
        <w:t xml:space="preserve"> Hypothese B oder D ist mindestens gleichwertig plausibel zur Anklage-Hypothese. </w:t>
      </w:r>
      <w:r>
        <w:rPr>
          <w:b/>
        </w:rPr>
        <w:t>Aussagepsychologisches Gutachten ist methodisch zwingend</w:t>
      </w:r>
      <w:r>
        <w:t xml:space="preserve"> geboten.</w:t>
      </w:r>
    </w:p>
    <w:p/>
    <w:p>
      <w:pPr>
        <w:pStyle w:val="Heading2"/>
      </w:pPr>
      <w:r>
        <w:rPr>
          <w:rFonts w:ascii="Times New Roman" w:hAnsi="Times New Roman"/>
        </w:rPr>
        <w:t>4. Empfehlung</w:t>
      </w:r>
    </w:p>
    <w:p>
      <w:pPr>
        <w:pStyle w:val="ListBullet"/>
      </w:pPr>
      <w:r>
        <w:rPr>
          <w:b/>
        </w:rPr>
        <w:t>Antrag § 244 III StPO</w:t>
      </w:r>
      <w:r>
        <w:t xml:space="preserve"> auf aussagepsychologisches SV-Gutachten (siehe Akte 22).</w:t>
      </w:r>
    </w:p>
    <w:p>
      <w:pPr>
        <w:pStyle w:val="ListBullet"/>
      </w:pPr>
      <w:r>
        <w:rPr>
          <w:b/>
        </w:rPr>
        <w:t>Sachverstaendigenvorschlag:</w:t>
      </w:r>
      <w:r>
        <w:t xml:space="preserve"> Prof. Dr. Henning Hennenkort, Universität Bonn, Lehrstuhl Rechtspsychologie.</w:t>
      </w:r>
    </w:p>
    <w:p>
      <w:pPr>
        <w:pStyle w:val="ListBullet"/>
      </w:pPr>
      <w:r>
        <w:rPr>
          <w:b/>
        </w:rPr>
        <w:t>Gutachterauftrag:</w:t>
      </w:r>
      <w:r>
        <w:t xml:space="preserve"> Pruefung Aussage V1 und V2 Quasthoff zur Hauptfrage: Liegt eine Erlebenshypothese tragfähig vor, oder ist eine Akkommodations- bzw. Falschbelastungshypothese mindestens gleichrangig?</w:t>
      </w:r>
    </w:p>
    <w:p>
      <w:pPr>
        <w:pStyle w:val="ListBullet"/>
      </w:pPr>
      <w:r>
        <w:rPr>
          <w:b/>
        </w:rPr>
        <w:t>Begleitend:</w:t>
      </w:r>
      <w:r>
        <w:t xml:space="preserve"> Beweisantrag erneute Konfrontationsvernehmung Quasthoff in HV (§ 69 StPO) mit Konfrontation der V1-V2-Inkonsistenzen.</w:t>
      </w:r>
    </w:p>
    <w:p/>
    <w:p>
      <w:pPr>
        <w:pStyle w:val="Heading2"/>
      </w:pPr>
      <w:r>
        <w:rPr>
          <w:rFonts w:ascii="Times New Roman" w:hAnsi="Times New Roman"/>
        </w:rPr>
        <w:t>5. Antizipation StA-Replik</w:t>
      </w:r>
    </w:p>
    <w:p>
      <w:pPr>
        <w:jc w:val="left"/>
      </w:pPr>
      <w:r>
        <w:t>Die StA wird vermutlich argumentieren:</w:t>
      </w:r>
    </w:p>
    <w:p>
      <w:pPr>
        <w:pStyle w:val="ListNumber"/>
      </w:pPr>
      <w:r>
        <w:t xml:space="preserve">Inkonsistenzen seien durch Beleg-Abgleich erklärbar (typischer Sachverhalt bei mehrfach vernommenen Zeugen, vgl. Skill </w:t>
      </w:r>
      <w:r>
        <w:t>strafrecht-spezial-aussagepsychologie-mehrfach-vernommene-zeugen</w:t>
      </w:r>
      <w:r>
        <w:t>).</w:t>
      </w:r>
    </w:p>
    <w:p>
      <w:pPr>
        <w:pStyle w:val="ListNumber"/>
      </w:pPr>
      <w:r>
        <w:t>Falschbelastungsmotiv sei nicht plausibel (Aufhebungsvertrag mit 22k Abfindung sei kein Beleg für Belastungsmotiv).</w:t>
      </w:r>
    </w:p>
    <w:p>
      <w:pPr>
        <w:pStyle w:val="ListNumber"/>
      </w:pPr>
      <w:r>
        <w:t>SV-Gutachten nicht erforderlich, weil Kammer "sachkundig" sei.</w:t>
      </w:r>
    </w:p>
    <w:p>
      <w:pPr>
        <w:jc w:val="left"/>
      </w:pPr>
      <w:r>
        <w:t>Replik Verteidigung:</w:t>
      </w:r>
    </w:p>
    <w:p>
      <w:pPr>
        <w:pStyle w:val="ListBullet"/>
      </w:pPr>
      <w:r>
        <w:t xml:space="preserve">Mehrfach-Vernommene-Methodik </w:t>
      </w:r>
      <w:r>
        <w:rPr>
          <w:b/>
        </w:rPr>
        <w:t>erfordert gerade</w:t>
      </w:r>
      <w:r>
        <w:t>, dass Inkonsistenzen aussagepsychologisch ausgewertet werden, nicht im Schnellverfahren von der Kammer "abgehakt" werden.</w:t>
      </w:r>
    </w:p>
    <w:p>
      <w:pPr>
        <w:pStyle w:val="ListBullet"/>
      </w:pPr>
      <w:r>
        <w:t xml:space="preserve">Demuetigungserlebnis vor Aufhebungsvertrag begründet </w:t>
      </w:r>
      <w:r>
        <w:rPr>
          <w:b/>
        </w:rPr>
        <w:t>affektive Belastung</w:t>
      </w:r>
      <w:r>
        <w:t>, die für Belastungstönung relevant ist.</w:t>
      </w:r>
    </w:p>
    <w:p>
      <w:pPr>
        <w:pStyle w:val="ListBullet"/>
      </w:pPr>
      <w:r>
        <w:t xml:space="preserve">BGH-Linie: Wenn Aussage Quasthoffs </w:t>
      </w:r>
      <w:r>
        <w:rPr>
          <w:b/>
        </w:rPr>
        <w:t>alleiniges</w:t>
      </w:r>
      <w:r>
        <w:t xml:space="preserve"> Belastungsmittel in zentralen Tatpunkten (Lagerverbringung, KfW), ist SV-Gutachten geboten, sobald qualifizierte Inkonsistenzen vorliegen.</w:t>
      </w:r>
    </w:p>
    <w:p>
      <w:pPr>
        <w:jc w:val="left"/>
      </w:pPr>
      <w:r>
        <w:t xml:space="preserve">(Vgl. Skill </w:t>
      </w:r>
      <w:r>
        <w:t>strafrecht-spezial-aussagepsychologie-staatsanwaltschaft-replik</w:t>
      </w:r>
      <w:r>
        <w:t>.)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