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Notiz Betriebspruefung Finanzamt Koeln-Mitte, Prüfungsergebnis 02/2026</w:t>
      </w:r>
    </w:p>
    <w:p>
      <w:pPr>
        <w:jc w:val="left"/>
      </w:pPr>
      <w:r>
        <w:rPr>
          <w:b/>
        </w:rPr>
        <w:t>Vellbruck Strafverteidigung Koeln — Interne Notiz</w:t>
      </w:r>
    </w:p>
    <w:p>
      <w:pPr>
        <w:jc w:val="left"/>
      </w:pPr>
      <w:r>
        <w:t>Erstellt durch: RA Knehrkamp</w:t>
      </w:r>
    </w:p>
    <w:p>
      <w:pPr>
        <w:jc w:val="left"/>
      </w:pPr>
      <w:r>
        <w:t>Datum: 19.05.2026</w:t>
      </w:r>
    </w:p>
    <w:p>
      <w:pPr>
        <w:jc w:val="left"/>
      </w:pPr>
      <w:r>
        <w:t>Quelle: Schlussbesprechung BP Finanzamt Koeln-Mitte vom 16.02.2026 (vor Insolvenzverwalter und ehem. Steuerberater Engelmeier) — Protokoll vorgelegt durch Engelmeier</w:t>
      </w:r>
    </w:p>
    <w:p/>
    <w:p>
      <w:pPr>
        <w:pStyle w:val="Heading2"/>
      </w:pPr>
      <w:r>
        <w:rPr>
          <w:rFonts w:ascii="Times New Roman" w:hAnsi="Times New Roman"/>
        </w:rPr>
        <w:t>1. Prüfungsgegenstand</w:t>
      </w:r>
    </w:p>
    <w:p>
      <w:pPr>
        <w:pStyle w:val="ListBullet"/>
      </w:pPr>
      <w:r>
        <w:t xml:space="preserve">Prüfungszeitraum: </w:t>
      </w:r>
      <w:r>
        <w:rPr>
          <w:b/>
        </w:rPr>
        <w:t>VZ 2020 - 2023</w:t>
      </w:r>
      <w:r>
        <w:t>, Sonderprüfung USt-Voranmeldungen 09/2024 - 02/2025.</w:t>
      </w:r>
    </w:p>
    <w:p>
      <w:pPr>
        <w:pStyle w:val="ListBullet"/>
      </w:pPr>
      <w:r>
        <w:t>Prüfer: Steueroberinspektor Markwart Sondelgang, Finanzamt Koeln-Mitte, BP-Stelle 3.</w:t>
      </w:r>
    </w:p>
    <w:p>
      <w:pPr>
        <w:pStyle w:val="ListBullet"/>
      </w:pPr>
      <w:r>
        <w:t>Anlass: Routine plus Verdachtsmoment aus Strafanzeige Insolvenzverwalter Wagner-Hieronymi (28.10.2025).</w:t>
      </w:r>
    </w:p>
    <w:p/>
    <w:p>
      <w:pPr>
        <w:pStyle w:val="Heading2"/>
      </w:pPr>
      <w:r>
        <w:rPr>
          <w:rFonts w:ascii="Times New Roman" w:hAnsi="Times New Roman"/>
        </w:rPr>
        <w:t>2. Prüfungsergebnis (Schlussbesprechung 16.02.2026)</w:t>
      </w:r>
    </w:p>
    <w:p>
      <w:pPr>
        <w:pStyle w:val="Heading3"/>
      </w:pPr>
      <w:r>
        <w:rPr>
          <w:rFonts w:ascii="Times New Roman" w:hAnsi="Times New Roman"/>
        </w:rPr>
        <w:t>2.1 Koerperschaftsteuer / Gewerbesteuer 2020-2023</w:t>
      </w:r>
    </w:p>
    <w:p>
      <w:pPr>
        <w:pStyle w:val="ListBullet"/>
      </w:pPr>
      <w:r>
        <w:t>VZ 2020: minimale Korrektur +12.000 EUR Hinzurechnung verdeckte Gewinnausschüttung (Cl. Pellbach-Ehefrau-Anstellung); keine Strafbarkeit.</w:t>
      </w:r>
    </w:p>
    <w:p>
      <w:pPr>
        <w:pStyle w:val="ListBullet"/>
      </w:pPr>
      <w:r>
        <w:t>VZ 2021: ohne Befund.</w:t>
      </w:r>
    </w:p>
    <w:p>
      <w:pPr>
        <w:pStyle w:val="ListBullet"/>
      </w:pPr>
      <w:r>
        <w:t>VZ 2022: BP wirft vor, der KfW-Coronahilfe-Antrag enthielt überhöhte Umsatzangaben (Komplex 6); dies sei NICHT steuerstrafrechtlich verfolgt, aber an die StA zur Pruefung weitergegeben. → Auslöser für die Subventionsbetrugs-Sache.</w:t>
      </w:r>
    </w:p>
    <w:p>
      <w:pPr>
        <w:pStyle w:val="ListBullet"/>
      </w:pPr>
      <w:r>
        <w:t>VZ 2023: minimale Korrekturen.</w:t>
      </w:r>
    </w:p>
    <w:p>
      <w:pPr>
        <w:pStyle w:val="Heading3"/>
      </w:pPr>
      <w:r>
        <w:rPr>
          <w:rFonts w:ascii="Times New Roman" w:hAnsi="Times New Roman"/>
        </w:rPr>
        <w:t>2.2 USt-Sonderprüfung 09/2024 - 02/2025</w:t>
      </w:r>
    </w:p>
    <w:p>
      <w:pPr>
        <w:pStyle w:val="ListBullet"/>
      </w:pPr>
      <w:r>
        <w:t>VAZ 09/2024: USt zu niedrig erklärt ca. 31.200 EUR.</w:t>
      </w:r>
    </w:p>
    <w:p>
      <w:pPr>
        <w:pStyle w:val="ListBullet"/>
      </w:pPr>
      <w:r>
        <w:t>VAZ 10/2024: USt zu niedrig erklärt ca. 42.800 EUR.</w:t>
      </w:r>
    </w:p>
    <w:p>
      <w:pPr>
        <w:pStyle w:val="ListBullet"/>
      </w:pPr>
      <w:r>
        <w:t>VAZ 11/2024: USt zu niedrig erklärt ca. 48.400 EUR.</w:t>
      </w:r>
    </w:p>
    <w:p>
      <w:pPr>
        <w:pStyle w:val="ListBullet"/>
      </w:pPr>
      <w:r>
        <w:t>VAZ 12/2024: USt zu niedrig erklärt ca. 35.900 EUR.</w:t>
      </w:r>
    </w:p>
    <w:p>
      <w:pPr>
        <w:pStyle w:val="ListBullet"/>
      </w:pPr>
      <w:r>
        <w:t>VAZ 01/2025: USt zu niedrig erklärt ca. 46.700 EUR.</w:t>
      </w:r>
    </w:p>
    <w:p>
      <w:pPr>
        <w:pStyle w:val="ListBullet"/>
      </w:pPr>
      <w:r>
        <w:t>VAZ 02/2025: USt zu niedrig erklärt ca. 41.000 EUR.</w:t>
      </w:r>
    </w:p>
    <w:p>
      <w:pPr>
        <w:pStyle w:val="ListBullet"/>
      </w:pPr>
      <w:r>
        <w:rPr>
          <w:b/>
        </w:rPr>
        <w:t>Summe Verkürzung USt: ca. 246.000 EUR.</w:t>
      </w:r>
    </w:p>
    <w:p>
      <w:pPr>
        <w:jc w:val="left"/>
      </w:pPr>
      <w:r>
        <w:t>Prüfer identifizierte als Ursache: Umsätze von 4 Geschäftsvorgängen (Kunde "WeissPunkt Frische" und "Auchan Wroclaw") wurden nicht ordnungsgemaess in den Voranmeldungen erfasst. Auf Frage des BP-Prüfers, weshalb diese Umsätze fehlten, erklärte Engelmeier in der Schlussbesprechung sinngemäß:</w:t>
      </w:r>
    </w:p>
    <w:p>
      <w:pPr>
        <w:ind w:left="567"/>
      </w:pPr>
      <w:r>
        <w:rPr>
          <w:i/>
        </w:rPr>
        <w:t>"Diese Umsätze waren nach Mitteilung des Mandanten Wechselumsätze. Wir haben sie nach Anweisung Pellbach in den jeweils nachfolgenden Monat verschoben. Tatsächlich sind sie aber nie nachgemeldet worden."</w:t>
      </w:r>
    </w:p>
    <w:p>
      <w:pPr>
        <w:jc w:val="left"/>
      </w:pPr>
      <w:r>
        <w:t>→ Belastend gegen Pellbach. Verteidigerin prüfen, ob Engelmeier hier zu Eigenentlastung neigt.</w:t>
      </w:r>
    </w:p>
    <w:p>
      <w:pPr>
        <w:pStyle w:val="Heading3"/>
      </w:pPr>
      <w:r>
        <w:rPr>
          <w:rFonts w:ascii="Times New Roman" w:hAnsi="Times New Roman"/>
        </w:rPr>
        <w:t>2.3 Lohnsteuer</w:t>
      </w:r>
    </w:p>
    <w:p>
      <w:pPr>
        <w:pStyle w:val="ListBullet"/>
      </w:pPr>
      <w:r>
        <w:t>VZ 2024 LSt-Pruefung im Anschluss vorgesehen; vorläufiger Befund: ca. 22.000 EUR Lohnsteuer rückständig. Strafrechtlich nicht weiter verfolgt (Hauptverfahren läuft bereits).</w:t>
      </w:r>
    </w:p>
    <w:p/>
    <w:p>
      <w:pPr>
        <w:pStyle w:val="Heading2"/>
      </w:pPr>
      <w:r>
        <w:rPr>
          <w:rFonts w:ascii="Times New Roman" w:hAnsi="Times New Roman"/>
        </w:rPr>
        <w:t>3. Strafrechtliche Implikation</w:t>
      </w:r>
    </w:p>
    <w:p>
      <w:pPr>
        <w:pStyle w:val="Heading3"/>
      </w:pPr>
      <w:r>
        <w:rPr>
          <w:rFonts w:ascii="Times New Roman" w:hAnsi="Times New Roman"/>
        </w:rPr>
        <w:t>3.1 § 370 AO</w:t>
      </w:r>
    </w:p>
    <w:p>
      <w:pPr>
        <w:jc w:val="left"/>
      </w:pPr>
      <w:r>
        <w:t>Die USt-Sonderprüfung liefert die Tatbestandsbeweise des Hauptverfahrens Komplex 5. Strittig wird die subjektive Seite: war Pellbach vorsätzlich oder hat Engelmeier ohne ausreichende Pruefung übernommen? Verteidigung wird Engelmeier-Aussage in der HV nutzen und ggf. Engelmeier selbst als Zeugen befragen.</w:t>
      </w:r>
    </w:p>
    <w:p>
      <w:pPr>
        <w:pStyle w:val="Heading3"/>
      </w:pPr>
      <w:r>
        <w:rPr>
          <w:rFonts w:ascii="Times New Roman" w:hAnsi="Times New Roman"/>
        </w:rPr>
        <w:t>3.2 § 371 AO Selbstanzeige</w:t>
      </w:r>
    </w:p>
    <w:p>
      <w:pPr>
        <w:pStyle w:val="ListBullet"/>
      </w:pPr>
      <w:r>
        <w:t>Selbstanzeige zum Zeitpunkt Schlussbesprechung (16.02.2026) NICHT möglich, weil Tatentdeckung bereits durch Strafanzeige Wagner-Hieronymi (28.10.2025) und über Quasthoff-Strafanzeige (12.12.2025) erfolgt.</w:t>
      </w:r>
    </w:p>
    <w:p>
      <w:pPr>
        <w:pStyle w:val="ListBullet"/>
      </w:pPr>
      <w:r>
        <w:t>Einzig denkbar: TBM-Selbstanzeige für noch nicht entdeckte Sachverhalte — hier nicht relevant.</w:t>
      </w:r>
    </w:p>
    <w:p>
      <w:pPr>
        <w:pStyle w:val="Heading3"/>
      </w:pPr>
      <w:r>
        <w:rPr>
          <w:rFonts w:ascii="Times New Roman" w:hAnsi="Times New Roman"/>
        </w:rPr>
        <w:t>3.3 § 264 StGB Subventionsbetrug</w:t>
      </w:r>
    </w:p>
    <w:p>
      <w:pPr>
        <w:jc w:val="left"/>
      </w:pPr>
      <w:r>
        <w:t>BP-Hinweis zum KfW-Antrag wirkt verstärkend auf Komplex 6.</w:t>
      </w:r>
    </w:p>
    <w:p/>
    <w:p>
      <w:pPr>
        <w:pStyle w:val="Heading2"/>
      </w:pPr>
      <w:r>
        <w:rPr>
          <w:rFonts w:ascii="Times New Roman" w:hAnsi="Times New Roman"/>
        </w:rPr>
        <w:t>4. Strategievorschlag Verteidigung</w:t>
      </w:r>
    </w:p>
    <w:p>
      <w:pPr>
        <w:pStyle w:val="ListBullet"/>
      </w:pPr>
      <w:r>
        <w:t>Engelmeier als Zeugen der Verteidigung benennen — er kann den Beraterverschuldensgrund stützen, wenn er einräumt, die Voranmeldungen ohne Pruefung übernommen zu haben.</w:t>
      </w:r>
    </w:p>
    <w:p>
      <w:pPr>
        <w:pStyle w:val="ListBullet"/>
      </w:pPr>
      <w:r>
        <w:t>BP-Akten zur USt-Sonderprüfung in Akteneinsicht durchgehen.</w:t>
      </w:r>
    </w:p>
    <w:p>
      <w:pPr>
        <w:pStyle w:val="ListBullet"/>
      </w:pPr>
      <w:r>
        <w:t>Steuerstrafrechtsexperte Knehrkamp zur Frage Strafzumessung § 370 III AO (besonders schwerer Fall ab 50.000 EUR pro Tat). Hier ist Volumen je VAZ unter 50.000 EUR — daher kein besonders schwerer Fall einzelner Tat, aber Gesamtvolumen kann gleichwohl strafmasserhoehend wirken.</w:t>
      </w:r>
    </w:p>
    <w:p>
      <w:pPr>
        <w:pStyle w:val="ListBullet"/>
      </w:pPr>
      <w:r>
        <w:t>Strafzumessung: §§ 46, 46a, 50 StGB.</w:t>
      </w:r>
    </w:p>
    <w:p/>
    <w:p>
      <w:pPr>
        <w:pStyle w:val="Heading2"/>
      </w:pPr>
      <w:r>
        <w:rPr>
          <w:rFonts w:ascii="Times New Roman" w:hAnsi="Times New Roman"/>
        </w:rPr>
        <w:t>5. Anhang</w:t>
      </w:r>
    </w:p>
    <w:p>
      <w:pPr>
        <w:pStyle w:val="ListBullet"/>
      </w:pPr>
      <w:r>
        <w:t>BP-Protokoll (im Sonderband Buchhaltung 2)</w:t>
      </w:r>
    </w:p>
    <w:p>
      <w:pPr>
        <w:pStyle w:val="ListBullet"/>
      </w:pPr>
      <w:r>
        <w:t xml:space="preserve">Korrespondenz Engelmeier nachfolgend (siehe </w:t>
      </w:r>
      <w:r>
        <w:t>eml/03</w:t>
      </w:r>
      <w:r>
        <w:t>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