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19 — Kriminologische Rückfallprognose Pellbach (interne Notiz Verteidigung)</w:t>
      </w:r>
    </w:p>
    <w:p>
      <w:pPr>
        <w:jc w:val="left"/>
      </w:pPr>
      <w:r>
        <w:rPr>
          <w:b/>
        </w:rPr>
        <w:t>Verteidigerin:</w:t>
      </w:r>
      <w:r>
        <w:t xml:space="preserve"> Dr. Lia Vellbruck-Eisinger</w:t>
      </w:r>
    </w:p>
    <w:p>
      <w:pPr>
        <w:jc w:val="left"/>
      </w:pPr>
      <w:r>
        <w:rPr>
          <w:b/>
        </w:rPr>
        <w:t>Mandant:</w:t>
      </w:r>
      <w:r>
        <w:t xml:space="preserve"> Dr. Carlsten Pellbach-Eisenacher</w:t>
      </w:r>
    </w:p>
    <w:p>
      <w:pPr>
        <w:jc w:val="left"/>
      </w:pPr>
      <w:r>
        <w:rPr>
          <w:b/>
        </w:rPr>
        <w:t>Datum:</w:t>
      </w:r>
      <w:r>
        <w:t xml:space="preserve"> 25.05.2026 (vor Hauptverhandlungsbeginn)</w:t>
      </w:r>
    </w:p>
    <w:p>
      <w:pPr>
        <w:jc w:val="left"/>
      </w:pPr>
      <w:r>
        <w:rPr>
          <w:b/>
        </w:rPr>
        <w:t>Zweck:</w:t>
      </w:r>
      <w:r>
        <w:t xml:space="preserve"> Vorbereitung Plädoyer-Strafzumessung § 46 StGB / Aussetzung § 56 StGB.</w:t>
      </w:r>
    </w:p>
    <w:p>
      <w:pPr>
        <w:jc w:val="left"/>
      </w:pPr>
      <w:r>
        <w:rPr>
          <w:b/>
        </w:rPr>
        <w:t>Vertraulich, Anwaltsgeheimnis § 43a Abs. 2 BRAO.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Im Falle einer Verurteilung der Wirtschaftsstrafkammer LG Koeln muss die Verteidigung kriminalprognostische Argumente vorlegen, um eine Strafe zur Bewährung (§ 56 StGB) zu erreichen. Bei einem Strafrahmen über 2 Jahren ist eine Aussetzung nur unter besonderen Umständen nach § 56 II StGB möglich. Die Anklage rechnet bei Verurteilung wegen aller Anklagepunkte mit ca. 3-4 Jahren Gesamtstrafe — d.h. Aussetzung ist ohne kräftige Mitigation nicht erreichbar.</w:t>
      </w:r>
    </w:p>
    <w:p>
      <w:pPr>
        <w:pStyle w:val="Heading2"/>
      </w:pPr>
      <w:r>
        <w:rPr>
          <w:rFonts w:ascii="Times New Roman" w:hAnsi="Times New Roman"/>
        </w:rPr>
        <w:t>2. Kriminalprognostische Verfahren (Standardwerkzeuge)</w:t>
      </w:r>
    </w:p>
    <w:p>
      <w:pPr>
        <w:jc w:val="left"/>
      </w:pPr>
      <w:r>
        <w:t>Die in der Praxis verwendeten kriminalprognostischen Verfahren: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Anwendungsbereich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Bedeutung Pellbach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LSI-R</w:t>
            </w:r>
            <w:r>
              <w:rPr>
                <w:rFonts w:ascii="Times New Roman" w:hAnsi="Times New Roman"/>
                <w:sz w:val="20"/>
              </w:rPr>
              <w:t xml:space="preserve"> (Level of Service Inventory-Revised)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 Rückfallprognose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wenig einschlägig, für Wirtschaftsstrafsachen nicht spezifiziert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HCR-20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Gewaltprognose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PCL-R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Psychopathy Checklist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FOTRES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forensisch-operative Therapierisikoeinschaetzung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Static-99R, SVR-20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Sexualstraftäter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Klinisch-strukturierte Prognose</w:t>
            </w:r>
            <w:r>
              <w:rPr>
                <w:rFonts w:ascii="Times New Roman" w:hAnsi="Times New Roman"/>
                <w:sz w:val="20"/>
              </w:rPr>
              <w:t xml:space="preserve"> (Nedopil/Mueller)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individualisiert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hier passend</w:t>
            </w:r>
          </w:p>
        </w:tc>
      </w:tr>
    </w:tbl>
    <w:p>
      <w:pPr>
        <w:jc w:val="left"/>
      </w:pPr>
      <w:r>
        <w:t xml:space="preserve">Für Wirtschaftsstrafsachen gibt es </w:t>
      </w:r>
      <w:r>
        <w:rPr>
          <w:b/>
        </w:rPr>
        <w:t>keine standardisierten Prognoseinstrumente</w:t>
      </w:r>
      <w:r>
        <w:t>. Die Prognose ist klinisch-strukturiert vorzunehmen, mit Fokus auf:</w:t>
      </w:r>
    </w:p>
    <w:p>
      <w:pPr>
        <w:pStyle w:val="ListBullet"/>
      </w:pPr>
      <w:r>
        <w:rPr>
          <w:b/>
        </w:rPr>
        <w:t>Tatspezifische Risikofaktoren</w:t>
      </w:r>
      <w:r>
        <w:t>: Liquiditätsdruck, GF-Position, Vermögensverhältnisse, Familienstand, Gesundheitsstand</w:t>
      </w:r>
    </w:p>
    <w:p>
      <w:pPr>
        <w:pStyle w:val="ListBullet"/>
      </w:pPr>
      <w:r>
        <w:rPr>
          <w:b/>
        </w:rPr>
        <w:t>Schutzfaktoren</w:t>
      </w:r>
      <w:r>
        <w:t>: stabile Bindung, anfangsbasierter Therapieansatz, geordnete Vermögensverhältnisse, vollständige Insolvenzabwicklung</w:t>
      </w:r>
    </w:p>
    <w:p>
      <w:pPr>
        <w:pStyle w:val="ListBullet"/>
      </w:pPr>
      <w:r>
        <w:rPr>
          <w:b/>
        </w:rPr>
        <w:t>Tatdistanz</w:t>
      </w:r>
      <w:r>
        <w:t>: kriminologische Forschung zeigt, dass Wirtschaftsstraftäter (sog. White-Collar) gegenüber Gewalttätern deutlich geringere Rückfallraten haben (Bock; Streng).</w:t>
      </w:r>
    </w:p>
    <w:p>
      <w:pPr>
        <w:pStyle w:val="Heading2"/>
      </w:pPr>
      <w:r>
        <w:rPr>
          <w:rFonts w:ascii="Times New Roman" w:hAnsi="Times New Roman"/>
        </w:rPr>
        <w:t>3. Risikofaktoren Pellbach (kritisch-realistisch)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 Monate, klar abgegrenzt durch wirtschaftliche Notlage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Vortaten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Vorstrafen, keine BZRG-Einträge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Therapieeinsicht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grundlegend vorhanden — Pellbach hat sich seit 13.05.2026 in U-Haft fortlaufend kooperativ verhalten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Familiäre Bindung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intakt — Ehefrau Frieda steht zur Familie, Tochter Marlene (16) in Gymnasialphase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Soziale Bindung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Mandant erodiert — Logistikbranche reagiert misstrauisch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Berufliche Reintegration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 — Berufsverbot § 70 StGB nicht zwingend bei Erstaeter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Insolvenzverfahren erschöpft, kein "Tatmotiv" mehr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Geographische Mobilität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(Wroclaw-Tochter), Fluchtgefahr-Argument der StA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Psychisches Profil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ohne klinisch relevanten Befund, keine Persönlichkeitsstörung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Schutzfaktoren</w:t>
      </w:r>
    </w:p>
    <w:p>
      <w:pPr>
        <w:pStyle w:val="ListBullet"/>
      </w:pPr>
      <w:r>
        <w:t>Klare Insolvenz-Abwicklung durch IV Hattenberg — Pellbach hat sich kooperativ verhalten</w:t>
      </w:r>
    </w:p>
    <w:p>
      <w:pPr>
        <w:pStyle w:val="ListBullet"/>
      </w:pPr>
      <w:r>
        <w:t>Geordnete Verteilung der Privatentnahmen-Rückführung in Vergleichsverhandlung mit IV</w:t>
      </w:r>
    </w:p>
    <w:p>
      <w:pPr>
        <w:pStyle w:val="ListBullet"/>
      </w:pPr>
      <w:r>
        <w:t xml:space="preserve">Mandant zeigt </w:t>
      </w:r>
      <w:r>
        <w:rPr>
          <w:b/>
        </w:rPr>
        <w:t>Tatkritik</w:t>
      </w:r>
      <w:r>
        <w:t xml:space="preserve"> in den Erstgesprächen vom 13.05.2026 und 22.05.2026</w:t>
      </w:r>
    </w:p>
    <w:p>
      <w:pPr>
        <w:pStyle w:val="ListBullet"/>
      </w:pPr>
      <w:r>
        <w:t>Familiäre Bindung als bewaehrungsrelevanter Schutzfaktor</w:t>
      </w:r>
    </w:p>
    <w:p>
      <w:pPr>
        <w:pStyle w:val="ListBullet"/>
      </w:pPr>
      <w:r>
        <w:t>Therapeutische Anbindung in U-Haft (Psychologe Dr. Habermann-Schinkel) seit 15.05.2026</w:t>
      </w:r>
    </w:p>
    <w:p>
      <w:pPr>
        <w:pStyle w:val="Heading2"/>
      </w:pPr>
      <w:r>
        <w:rPr>
          <w:rFonts w:ascii="Times New Roman" w:hAnsi="Times New Roman"/>
        </w:rPr>
        <w:t>5. Empfehlung für Plädoyer-Argumentation</w:t>
      </w:r>
    </w:p>
    <w:p>
      <w:pPr>
        <w:pStyle w:val="ListNumber"/>
      </w:pPr>
      <w:r>
        <w:rPr>
          <w:b/>
        </w:rPr>
        <w:t>Tatspezifischer Hintergrund</w:t>
      </w:r>
      <w:r>
        <w:t xml:space="preserve"> betonen: existenzielle Krise als Tatkontext (BVG-Aufträge verloren, Wroclaw-Tochter Liquiditätsleck) — entlastet zwar nicht, erklärt aber individuell.</w:t>
      </w:r>
    </w:p>
    <w:p>
      <w:pPr>
        <w:pStyle w:val="ListNumber"/>
      </w:pPr>
      <w:r>
        <w:rPr>
          <w:b/>
        </w:rPr>
        <w:t>Kriminologische Forschung</w:t>
      </w:r>
      <w:r>
        <w:t xml:space="preserve"> zitieren: White-Collar-Rückfallraten typisch 6-12 Prozent (vs. 30 Prozent allgemein). Vor Verwendung mit aktuellem Stand (Bundeszentralregister-Auswertungen, Bock, Streng) verifizieren.</w:t>
      </w:r>
    </w:p>
    <w:p>
      <w:pPr>
        <w:pStyle w:val="ListNumber"/>
      </w:pPr>
      <w:r>
        <w:rPr>
          <w:b/>
        </w:rPr>
        <w:t>Therapie-Konzept</w:t>
      </w:r>
      <w:r>
        <w:t xml:space="preserve"> vorlegen: bereits begonnene Anbindung an wirtschaftspsychologische Beratung; Vorlage einer schriftlichen Bestätigung Dr. Habermann-Schinkel.</w:t>
      </w:r>
    </w:p>
    <w:p>
      <w:pPr>
        <w:pStyle w:val="ListNumber"/>
      </w:pPr>
      <w:r>
        <w:rPr>
          <w:b/>
        </w:rPr>
        <w:t>Insolvenz-Mitwirkung</w:t>
      </w:r>
      <w:r>
        <w:t xml:space="preserve"> dokumentieren: Pellbach kooperiert mit IV — verteidiger-relevante Insolvenz-Bewertung (Bargeldabhebungen-Rückzahlung 211k bis dato).</w:t>
      </w:r>
    </w:p>
    <w:p>
      <w:pPr>
        <w:pStyle w:val="ListNumber"/>
      </w:pPr>
      <w:r>
        <w:rPr>
          <w:b/>
        </w:rPr>
        <w:t>Strafmilderung § 46a StGB</w:t>
      </w:r>
      <w:r>
        <w:t xml:space="preserve"> (TOA): prüfen, ob Gespräch mit IV über Schadenswiedergutmachung als TOA gewertet werden kann. Vor Plädoyer hier Klarheit schaffen.</w:t>
      </w:r>
    </w:p>
    <w:p>
      <w:pPr>
        <w:pStyle w:val="Heading2"/>
      </w:pPr>
      <w:r>
        <w:rPr>
          <w:rFonts w:ascii="Times New Roman" w:hAnsi="Times New Roman"/>
        </w:rPr>
        <w:t>6. Quellen (vom Anwender zu verifizieren)</w:t>
      </w:r>
    </w:p>
    <w:p>
      <w:pPr>
        <w:pStyle w:val="ListBullet"/>
      </w:pPr>
      <w:r>
        <w:t>Nedopil/Mueller, Forensische Psychiatrie, aktuelle Auflage.</w:t>
      </w:r>
    </w:p>
    <w:p>
      <w:pPr>
        <w:pStyle w:val="ListBullet"/>
      </w:pPr>
      <w:r>
        <w:t>Bock, Kriminologie für Praxis und Studium, aktuelle Auflage.</w:t>
      </w:r>
    </w:p>
    <w:p>
      <w:pPr>
        <w:pStyle w:val="ListBullet"/>
      </w:pPr>
      <w:r>
        <w:t>Streng, Strafzumessung, aktuelle Auflage.</w:t>
      </w:r>
    </w:p>
    <w:p>
      <w:pPr>
        <w:pStyle w:val="ListBullet"/>
      </w:pPr>
      <w:r>
        <w:t>Boers/Reinecke, Delinquenz im Lebensverlauf — Forschungsergebnisse zu Wirtschaftskriminalität.</w:t>
      </w:r>
    </w:p>
    <w:p>
      <w:pPr>
        <w:pStyle w:val="ListBullet"/>
      </w:pPr>
      <w:r>
        <w:t>BZR-Rückfallstatistik (Bundeszentralregister-Auswertung) — aktueller Stand BMJ verifizieren.</w:t>
      </w:r>
    </w:p>
    <w:p>
      <w:pPr>
        <w:jc w:val="left"/>
      </w:pPr>
      <w:r>
        <w:rPr>
          <w:b/>
        </w:rPr>
        <w:t>ACHTUNG</w:t>
      </w:r>
      <w:r>
        <w:t>: Konkrete Prozentangaben (z.B. "6-12 Prozent Rückfallrate") sind vor Verwendung im Plädoyer aus aktueller BZR-Auswertung zu verifizieren. Ohne belastbare Zahl im Plädoyer keine konkreten Werte nennen.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