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Aktenstück 24 — Strafzumessungserwaegungen § 46 StGB (Verteidigersicht)</w:t>
      </w:r>
    </w:p>
    <w:p>
      <w:pPr>
        <w:jc w:val="left"/>
      </w:pPr>
      <w:r>
        <w:rPr>
          <w:b/>
        </w:rPr>
        <w:t>Verteidigerin:</w:t>
      </w:r>
      <w:r>
        <w:t xml:space="preserve"> Dr. Lia Vellbruck-Eisinger.</w:t>
      </w:r>
    </w:p>
    <w:p>
      <w:pPr>
        <w:jc w:val="left"/>
      </w:pPr>
      <w:r>
        <w:rPr>
          <w:b/>
        </w:rPr>
        <w:t>Stand:</w:t>
      </w:r>
      <w:r>
        <w:t xml:space="preserve"> 27.05.2026, Vorbereitung Plädoyer Hauptverhandlung LG Koeln (Az. 117 KLs 14/26).</w:t>
      </w:r>
    </w:p>
    <w:p/>
    <w:p>
      <w:pPr>
        <w:pStyle w:val="Heading2"/>
      </w:pPr>
      <w:r>
        <w:rPr>
          <w:rFonts w:ascii="Times New Roman" w:hAnsi="Times New Roman"/>
        </w:rPr>
        <w:t>1. Gesetzlicher Rahmen § 46 StGB</w:t>
      </w:r>
    </w:p>
    <w:p>
      <w:pPr>
        <w:jc w:val="left"/>
      </w:pPr>
      <w:r>
        <w:t>§ 46 Abs. 1 StGB: Grundlage der Zumessung ist die Schuld des Täters.</w:t>
      </w:r>
    </w:p>
    <w:p>
      <w:pPr>
        <w:jc w:val="left"/>
      </w:pPr>
      <w:r>
        <w:t>§ 46 Abs. 2 StGB: bei der Zumessung sind insbesondere zu berücksichtigen:</w:t>
      </w:r>
    </w:p>
    <w:p>
      <w:pPr>
        <w:pStyle w:val="ListBullet"/>
      </w:pPr>
      <w:r>
        <w:t>die Beweggründe und die Ziele des Täters</w:t>
      </w:r>
    </w:p>
    <w:p>
      <w:pPr>
        <w:pStyle w:val="ListBullet"/>
      </w:pPr>
      <w:r>
        <w:t>die Gesinnung</w:t>
      </w:r>
    </w:p>
    <w:p>
      <w:pPr>
        <w:pStyle w:val="ListBullet"/>
      </w:pPr>
      <w:r>
        <w:t>das Mass der Pflichtwidrigkeit</w:t>
      </w:r>
    </w:p>
    <w:p>
      <w:pPr>
        <w:pStyle w:val="ListBullet"/>
      </w:pPr>
      <w:r>
        <w:t>die Art der Ausführung</w:t>
      </w:r>
    </w:p>
    <w:p>
      <w:pPr>
        <w:pStyle w:val="ListBullet"/>
      </w:pPr>
      <w:r>
        <w:t>die verschuldeten Auswirkungen</w:t>
      </w:r>
    </w:p>
    <w:p>
      <w:pPr>
        <w:pStyle w:val="ListBullet"/>
      </w:pPr>
      <w:r>
        <w:t>das Vorleben</w:t>
      </w:r>
    </w:p>
    <w:p>
      <w:pPr>
        <w:pStyle w:val="ListBullet"/>
      </w:pPr>
      <w:r>
        <w:t>die persönlichen und wirtschaftlichen Verhältnisse</w:t>
      </w:r>
    </w:p>
    <w:p>
      <w:pPr>
        <w:pStyle w:val="ListBullet"/>
      </w:pPr>
      <w:r>
        <w:t>das Verhalten nach der Tat (insbesondere Schadenswiedergutmachung)</w:t>
      </w:r>
    </w:p>
    <w:p>
      <w:pPr>
        <w:pStyle w:val="Heading2"/>
      </w:pPr>
      <w:r>
        <w:rPr>
          <w:rFonts w:ascii="Times New Roman" w:hAnsi="Times New Roman"/>
        </w:rPr>
        <w:t>2. Strafrahmen-Überblick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Komplex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Strafrahmen Normalfall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Verschärft (gewerbsmaessig/Bande)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15a InsO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3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266 StGB Grundtatbestand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besonders schwerer Fall § 266 II i.V.m. § 263 III StGB: 6 Monate bis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266a StGB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—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370 AO Grundtatbestand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370 III AO besonders schwerer Fall: 6 Monate bis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264 StGB Subventionsbetrug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264 II Regelbeispiele besonders schwerer Fall: 1 bis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283 StGB Bankrott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283a StGB besonders schwerer Fall: 6 Monate bis 10 Jahre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261 StGB Geldwaesche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6 Monate bis 5 Jahre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§ 261 IV gewerbsmaessig: 1 bis 10 Jahre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3. Strafzumessungsfaktoren — Verteidigersicht</w:t>
      </w:r>
    </w:p>
    <w:p>
      <w:pPr>
        <w:pStyle w:val="Heading3"/>
      </w:pPr>
      <w:r>
        <w:rPr>
          <w:rFonts w:ascii="Times New Roman" w:hAnsi="Times New Roman"/>
        </w:rPr>
        <w:t>3.1 Strafmildernde Faktoren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Erstaeter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Keine Vorstrafen, kein BZRG-Eintrag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Sanierungsperspektive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hat von Mitte 2024 bis 02/2025 eine konkrete Sanierungsperspektive verfolgt (Auflösung bayrische Niederlassung 200k, Forderungseinzug Wroclaw) — Beraterzusage Engelmeier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Schadenswiedergutmachung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hat ca. 211.000 EUR an Insolvenzmasse zurückgeführt (Stand 25.05.2026); weitere 100k bis Hauptverhandlung in Aussicht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Vollkooperation Insolvenzverfahren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IV Hattenberg bestätigt Mitwirkung in Vor-Verhandlungen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Tatkritik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zeigt erkennbar Tatkritik (vgl. Einlassungs-Entwurf) — Bedauern, Verantwortungsübernahme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Wirtschaftliche Notlage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Verlust BVG-Frachtkontingent (2,8 Mio. EUR/Jahr), Verlust Schweden-Auftrag (1,9 Mio. EUR/Jahr) als existenzielle Erschütterung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Familiäre 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Tochter 16 Jahre, vor Abitur — Vollzug hätte gravierende Folgen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Therapeutische Anbindung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Pellbach seit 15.05.2026 in psychologischer Beratung (Dr. Habermann-Schinkel JVA Koeln-Ossendorf) — strukturierte Aufarbeitung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Untersuchungshaftverbuessung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seit 12.05.2026 (zum Hauptverhandlungstermin ca. 6 Monate) — Anrechnung § 51 StGB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TOA § 46a StGB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mit Insolvenzverwalter im Vor-Verhandlungsweg — prüfen, ob als TOA gewertet werden kann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3.2 Strafverschaerfende Faktoren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Faktor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Schadensvolumen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ca. 1,165 Mio. EUR + 320k KfW + Geldwäschevolumen offen — erheblich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Mehrere Tatkomplexe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sieben Anklagepunkte — Gesamtstrafenbildung erheblich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Dauer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Tatzeitraum über sechs Monate (10/2024 bis 03/2025) — keine Spontantat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Mitwirkungs-Vermutung Ehefrau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Chat-Auszug zeigt Mitwissen Frieda — wir müssen aufpassen, sie nicht implizit zu belasten, weil das die Mit-Verantwortung des Mandanten nicht mildert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Wroclaw-Auslandstransfer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aufwendige Briefkastenstruktur (Edelweiss Holdings Zypern) erhöht Schwere — keine Spontantat</w:t>
            </w:r>
          </w:p>
        </w:tc>
      </w:tr>
    </w:tbl>
    <w:p>
      <w:pPr>
        <w:pStyle w:val="Heading3"/>
      </w:pPr>
      <w:r>
        <w:rPr>
          <w:rFonts w:ascii="Times New Roman" w:hAnsi="Times New Roman"/>
        </w:rPr>
        <w:t>3.3 Bilanz</w:t>
      </w:r>
    </w:p>
    <w:p>
      <w:pPr>
        <w:jc w:val="left"/>
      </w:pPr>
      <w:r>
        <w:t xml:space="preserve">Bei sauberer Strafzumessung und Anerkennung aller mildernden Faktoren ist die Verteidigung der Ansicht, dass eine Gesamtstrafe </w:t>
      </w:r>
      <w:r>
        <w:rPr>
          <w:b/>
        </w:rPr>
        <w:t>deutlich unter 3 Jahren</w:t>
      </w:r>
      <w:r>
        <w:t xml:space="preserve"> angemessen wäre. Realistisch ist eine Gesamtstrafe zwischen </w:t>
      </w:r>
      <w:r>
        <w:rPr>
          <w:b/>
        </w:rPr>
        <w:t>1 Jahr 9 Monate</w:t>
      </w:r>
      <w:r>
        <w:t xml:space="preserve"> und </w:t>
      </w:r>
      <w:r>
        <w:rPr>
          <w:b/>
        </w:rPr>
        <w:t>2 Jahre 6 Monate</w:t>
      </w:r>
      <w:r>
        <w:t xml:space="preserve"> — die untere Grenze gilt nur bei voller Anerkennung in allen Komplexen.</w:t>
      </w:r>
    </w:p>
    <w:p>
      <w:pPr>
        <w:pStyle w:val="Heading2"/>
      </w:pPr>
      <w:r>
        <w:rPr>
          <w:rFonts w:ascii="Times New Roman" w:hAnsi="Times New Roman"/>
        </w:rPr>
        <w:t>4. Aussetzungsperspektive § 56 StGB</w:t>
      </w:r>
    </w:p>
    <w:p>
      <w:pPr>
        <w:pStyle w:val="ListBullet"/>
      </w:pPr>
      <w:r>
        <w:rPr>
          <w:b/>
        </w:rPr>
        <w:t>§ 56 I StGB</w:t>
      </w:r>
      <w:r>
        <w:t>: Strafe bis 1 Jahr; bei günstiger Sozialprognose Aussetzung im Regelfall.</w:t>
      </w:r>
    </w:p>
    <w:p>
      <w:pPr>
        <w:pStyle w:val="ListBullet"/>
      </w:pPr>
      <w:r>
        <w:rPr>
          <w:b/>
        </w:rPr>
        <w:t>§ 56 II StGB</w:t>
      </w:r>
      <w:r>
        <w:t>: Strafe von 1 bis 2 Jahre; Aussetzung bei günstiger Sozialprognose und besonderen Umständen möglich.</w:t>
      </w:r>
    </w:p>
    <w:p>
      <w:pPr>
        <w:pStyle w:val="ListBullet"/>
      </w:pPr>
      <w:r>
        <w:rPr>
          <w:b/>
        </w:rPr>
        <w:t>§ 56 III StGB</w:t>
      </w:r>
      <w:r>
        <w:t>: bei Strafe über 2 Jahre keine Aussetzung; Halbstrafe-Aussetzung nach § 57 StGB ab Halbstrafe-Höhe.</w:t>
      </w:r>
    </w:p>
    <w:p>
      <w:pPr>
        <w:jc w:val="left"/>
      </w:pPr>
      <w:r>
        <w:t>Verteidigungsziel: Gesamtstrafe maximal 2 Jahre, Aussetzung nach § 56 II StGB.</w:t>
      </w:r>
    </w:p>
    <w:p>
      <w:pPr>
        <w:pStyle w:val="Heading2"/>
      </w:pPr>
      <w:r>
        <w:rPr>
          <w:rFonts w:ascii="Times New Roman" w:hAnsi="Times New Roman"/>
        </w:rPr>
        <w:t>5. Bewährungsauflagen (Vorschlag für Hauptverhandlung)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Auflage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b/>
                <w:sz w:val="20"/>
              </w:rPr>
              <w:t>Begründung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TOA + Schadenswiedergutmachung min. 300.000 EUR an Insolvenzmasse (laufend 5k EUR/Monat)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konkret und praezedierend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Geldauflage 50.000 EUR an gemeinnützige Einrichtung (Caritas Koeln)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Sozial-Bestaerkungs-Akzent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Therapeutische Anbindung bei Dr. Habermann-Schinkel oder vergleichbar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Praeventionsakzent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Berufseinschränkung: kein GF-Mandat in 5 Jahren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Praeventionsakzent gegen Wiederholung</w:t>
            </w:r>
          </w:p>
        </w:tc>
      </w:tr>
      <w:tr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Bewährungshelferin (z.B. Caritasdienst Sozialdienst)</w:t>
            </w:r>
          </w:p>
        </w:tc>
        <w:tc>
          <w:tcPr>
            <w:tcW w:type="dxa" w:w="4536"/>
          </w:tcPr>
          <w:p>
            <w:r>
              <w:rPr>
                <w:rFonts w:ascii="Times New Roman" w:hAnsi="Times New Roman"/>
                <w:sz w:val="20"/>
              </w:rPr>
              <w:t>Strukturhilfe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6. Plädoyer-Argumentationslinie</w:t>
      </w:r>
    </w:p>
    <w:p>
      <w:pPr>
        <w:pStyle w:val="ListNumber"/>
      </w:pPr>
      <w:r>
        <w:rPr>
          <w:b/>
        </w:rPr>
        <w:t>Tat-Kontext</w:t>
      </w:r>
      <w:r>
        <w:t>: existenzielle wirtschaftliche Erschütterung — nicht entlastend, aber individualisierend.</w:t>
      </w:r>
    </w:p>
    <w:p>
      <w:pPr>
        <w:pStyle w:val="ListNumber"/>
      </w:pPr>
      <w:r>
        <w:rPr>
          <w:b/>
        </w:rPr>
        <w:t>Tatkritik</w:t>
      </w:r>
      <w:r>
        <w:t>: Pellbach übernimmt Verantwortung; keine Schutzbehauptungen über das Notwendige hinaus.</w:t>
      </w:r>
    </w:p>
    <w:p>
      <w:pPr>
        <w:pStyle w:val="ListNumber"/>
      </w:pPr>
      <w:r>
        <w:rPr>
          <w:b/>
        </w:rPr>
        <w:t>Schadenswiedergutmachung</w:t>
      </w:r>
      <w:r>
        <w:t>: 211k bereits, weitere im Insolvenzplan zugesagt.</w:t>
      </w:r>
    </w:p>
    <w:p>
      <w:pPr>
        <w:pStyle w:val="ListNumber"/>
      </w:pPr>
      <w:r>
        <w:rPr>
          <w:b/>
        </w:rPr>
        <w:t>Untersuchungshaftverbuessung</w:t>
      </w:r>
      <w:r>
        <w:t>: 6 Monate sind eine erhebliche Vorbelastung.</w:t>
      </w:r>
    </w:p>
    <w:p>
      <w:pPr>
        <w:pStyle w:val="ListNumber"/>
      </w:pPr>
      <w:r>
        <w:rPr>
          <w:b/>
        </w:rPr>
        <w:t>Familienlage</w:t>
      </w:r>
      <w:r>
        <w:t>: Tochter im Abitur, Vollzug-Folgen unverhaeltnismaessig.</w:t>
      </w:r>
    </w:p>
    <w:p>
      <w:pPr>
        <w:pStyle w:val="ListNumber"/>
      </w:pPr>
      <w:r>
        <w:rPr>
          <w:b/>
        </w:rPr>
        <w:t>Praeventionsmoeglichkeit ausserhalb Vollzug</w:t>
      </w:r>
      <w:r>
        <w:t>: § 56 II StGB durch Bewährungsauflagen-Bundle.</w:t>
      </w:r>
    </w:p>
    <w:p>
      <w:pPr>
        <w:pStyle w:val="Heading2"/>
      </w:pPr>
      <w:r>
        <w:rPr>
          <w:rFonts w:ascii="Times New Roman" w:hAnsi="Times New Roman"/>
        </w:rPr>
        <w:t>7. Strafmilderung § 46b StGB (Kronzeugenregelung)</w:t>
      </w:r>
    </w:p>
    <w:p>
      <w:pPr>
        <w:jc w:val="left"/>
      </w:pPr>
      <w:r>
        <w:t xml:space="preserve">Prüfen, ob Pellbach durch Mitwirkung an der Aufklärung der Edelweiss Holdings-Struktur und ggf. der polnischen Mit-Beteiligten (Stefanovic, Kowalski) als Kronzeuge § 46b StGB einzustufen ist. Dies würde </w:t>
      </w:r>
      <w:r>
        <w:rPr>
          <w:b/>
        </w:rPr>
        <w:t>bis zur Hälfte der Strafe</w:t>
      </w:r>
      <w:r>
        <w:t xml:space="preserve"> mildern. Vor-Voraussetzung: Schwerpunktstaatsanwaltschaft würde die Mitwirkung positiv berücksichtigen — Pruefung erforderlich.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