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Deal Briefing — Projekt Silberfalke</w:t>
      </w:r>
    </w:p>
    <w:p>
      <w:pPr>
        <w:jc w:val="left"/>
      </w:pPr>
      <w:r>
        <w:rPr>
          <w:b/>
        </w:rPr>
        <w:t>Aktenzeichen:</w:t>
      </w:r>
      <w:r>
        <w:t xml:space="preserve"> MWK/2024/SIL-001</w:t>
      </w:r>
    </w:p>
    <w:p>
      <w:pPr>
        <w:jc w:val="left"/>
      </w:pPr>
      <w:r>
        <w:rPr>
          <w:b/>
        </w:rPr>
        <w:t>Datum:</w:t>
      </w:r>
      <w:r>
        <w:t xml:space="preserve"> 14. Oktober 2024</w:t>
      </w:r>
    </w:p>
    <w:p>
      <w:pPr>
        <w:jc w:val="left"/>
      </w:pPr>
      <w:r>
        <w:rPr>
          <w:b/>
        </w:rPr>
        <w:t>Verfasser:</w:t>
      </w:r>
      <w:r>
        <w:t xml:space="preserve"> Dr. Markus Weidemann, Partner (Corporate/M&amp;A)</w:t>
      </w:r>
    </w:p>
    <w:p>
      <w:pPr>
        <w:jc w:val="left"/>
      </w:pPr>
      <w:r>
        <w:rPr>
          <w:b/>
        </w:rPr>
        <w:t>Adressat:</w:t>
      </w:r>
      <w:r>
        <w:t xml:space="preserve"> Deal Team Silberfalke</w:t>
      </w:r>
    </w:p>
    <w:p>
      <w:pPr>
        <w:jc w:val="left"/>
      </w:pPr>
      <w:r>
        <w:rPr>
          <w:b/>
        </w:rPr>
        <w:t>Klassifizierung:</w:t>
      </w:r>
      <w:r>
        <w:t xml:space="preserve"> Streng vertraulich — nur Mandanten-Team</w:t>
      </w:r>
    </w:p>
    <w:p/>
    <w:p>
      <w:pPr>
        <w:pStyle w:val="Heading2"/>
      </w:pPr>
      <w:r>
        <w:rPr>
          <w:rFonts w:ascii="Times New Roman" w:hAnsi="Times New Roman"/>
        </w:rPr>
        <w:t>1. Transaktionsüberblick</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Inhalt</w:t>
            </w:r>
          </w:p>
        </w:tc>
      </w:tr>
      <w:tr>
        <w:tc>
          <w:tcPr>
            <w:tcW w:type="dxa" w:w="4536"/>
          </w:tcPr>
          <w:p>
            <w:r>
              <w:rPr>
                <w:rFonts w:ascii="Times New Roman" w:hAnsi="Times New Roman"/>
                <w:sz w:val="20"/>
              </w:rPr>
              <w:t>Projektname</w:t>
            </w:r>
          </w:p>
        </w:tc>
        <w:tc>
          <w:tcPr>
            <w:tcW w:type="dxa" w:w="4536"/>
          </w:tcPr>
          <w:p>
            <w:r>
              <w:rPr>
                <w:rFonts w:ascii="Times New Roman" w:hAnsi="Times New Roman"/>
                <w:sz w:val="20"/>
              </w:rPr>
              <w:t>Silberfalke</w:t>
            </w:r>
          </w:p>
        </w:tc>
      </w:tr>
      <w:tr>
        <w:tc>
          <w:tcPr>
            <w:tcW w:type="dxa" w:w="4536"/>
          </w:tcPr>
          <w:p>
            <w:r>
              <w:rPr>
                <w:rFonts w:ascii="Times New Roman" w:hAnsi="Times New Roman"/>
                <w:sz w:val="20"/>
              </w:rPr>
              <w:t>Käuferin</w:t>
            </w:r>
          </w:p>
        </w:tc>
        <w:tc>
          <w:tcPr>
            <w:tcW w:type="dxa" w:w="4536"/>
          </w:tcPr>
          <w:p>
            <w:r>
              <w:rPr>
                <w:rFonts w:ascii="Times New Roman" w:hAnsi="Times New Roman"/>
                <w:sz w:val="20"/>
              </w:rPr>
              <w:t>Eagle Capital Partners GmbH &amp; Co. KG (PE-Fonds)</w:t>
            </w:r>
          </w:p>
        </w:tc>
      </w:tr>
      <w:tr>
        <w:tc>
          <w:tcPr>
            <w:tcW w:type="dxa" w:w="4536"/>
          </w:tcPr>
          <w:p>
            <w:r>
              <w:rPr>
                <w:rFonts w:ascii="Times New Roman" w:hAnsi="Times New Roman"/>
                <w:sz w:val="20"/>
              </w:rPr>
              <w:t>Verkäuferin</w:t>
            </w:r>
          </w:p>
        </w:tc>
        <w:tc>
          <w:tcPr>
            <w:tcW w:type="dxa" w:w="4536"/>
          </w:tcPr>
          <w:p>
            <w:r>
              <w:rPr>
                <w:rFonts w:ascii="Times New Roman" w:hAnsi="Times New Roman"/>
                <w:sz w:val="20"/>
              </w:rPr>
              <w:t>Solaris Familienholding AG</w:t>
            </w:r>
          </w:p>
        </w:tc>
      </w:tr>
      <w:tr>
        <w:tc>
          <w:tcPr>
            <w:tcW w:type="dxa" w:w="4536"/>
          </w:tcPr>
          <w:p>
            <w:r>
              <w:rPr>
                <w:rFonts w:ascii="Times New Roman" w:hAnsi="Times New Roman"/>
                <w:sz w:val="20"/>
              </w:rPr>
              <w:t>Zielgesellschaft</w:t>
            </w:r>
          </w:p>
        </w:tc>
        <w:tc>
          <w:tcPr>
            <w:tcW w:type="dxa" w:w="4536"/>
          </w:tcPr>
          <w:p>
            <w:r>
              <w:rPr>
                <w:rFonts w:ascii="Times New Roman" w:hAnsi="Times New Roman"/>
                <w:sz w:val="20"/>
              </w:rPr>
              <w:t>Solaris Industries AG (Carve-out Sparte "Precision Drive Systems")</w:t>
            </w:r>
          </w:p>
        </w:tc>
      </w:tr>
      <w:tr>
        <w:tc>
          <w:tcPr>
            <w:tcW w:type="dxa" w:w="4536"/>
          </w:tcPr>
          <w:p>
            <w:r>
              <w:rPr>
                <w:rFonts w:ascii="Times New Roman" w:hAnsi="Times New Roman"/>
                <w:sz w:val="20"/>
              </w:rPr>
              <w:t>Enterprise Value</w:t>
            </w:r>
          </w:p>
        </w:tc>
        <w:tc>
          <w:tcPr>
            <w:tcW w:type="dxa" w:w="4536"/>
          </w:tcPr>
          <w:p>
            <w:r>
              <w:rPr>
                <w:rFonts w:ascii="Times New Roman" w:hAnsi="Times New Roman"/>
                <w:sz w:val="20"/>
              </w:rPr>
              <w:t>ca. EUR 180 Mio.</w:t>
            </w:r>
          </w:p>
        </w:tc>
      </w:tr>
      <w:tr>
        <w:tc>
          <w:tcPr>
            <w:tcW w:type="dxa" w:w="4536"/>
          </w:tcPr>
          <w:p>
            <w:r>
              <w:rPr>
                <w:rFonts w:ascii="Times New Roman" w:hAnsi="Times New Roman"/>
                <w:sz w:val="20"/>
              </w:rPr>
              <w:t>Transaktionsart</w:t>
            </w:r>
          </w:p>
        </w:tc>
        <w:tc>
          <w:tcPr>
            <w:tcW w:type="dxa" w:w="4536"/>
          </w:tcPr>
          <w:p>
            <w:r>
              <w:rPr>
                <w:rFonts w:ascii="Times New Roman" w:hAnsi="Times New Roman"/>
                <w:sz w:val="20"/>
              </w:rPr>
              <w:t>Strukturierter Bieterprozess, Buy-side-Counsel</w:t>
            </w:r>
          </w:p>
        </w:tc>
      </w:tr>
      <w:tr>
        <w:tc>
          <w:tcPr>
            <w:tcW w:type="dxa" w:w="4536"/>
          </w:tcPr>
          <w:p>
            <w:r>
              <w:rPr>
                <w:rFonts w:ascii="Times New Roman" w:hAnsi="Times New Roman"/>
                <w:sz w:val="20"/>
              </w:rPr>
              <w:t>Closing-Ziel</w:t>
            </w:r>
          </w:p>
        </w:tc>
        <w:tc>
          <w:tcPr>
            <w:tcW w:type="dxa" w:w="4536"/>
          </w:tcPr>
          <w:p>
            <w:r>
              <w:rPr>
                <w:rFonts w:ascii="Times New Roman" w:hAnsi="Times New Roman"/>
                <w:sz w:val="20"/>
              </w:rPr>
              <w:t>Q1 2025 (ca. 10 Wochen ab Signing)</w:t>
            </w:r>
          </w:p>
        </w:tc>
      </w:tr>
      <w:tr>
        <w:tc>
          <w:tcPr>
            <w:tcW w:type="dxa" w:w="4536"/>
          </w:tcPr>
          <w:p>
            <w:r>
              <w:rPr>
                <w:rFonts w:ascii="Times New Roman" w:hAnsi="Times New Roman"/>
                <w:sz w:val="20"/>
              </w:rPr>
              <w:t>Kanzlei-Rolle</w:t>
            </w:r>
          </w:p>
        </w:tc>
        <w:tc>
          <w:tcPr>
            <w:tcW w:type="dxa" w:w="4536"/>
          </w:tcPr>
          <w:p>
            <w:r>
              <w:rPr>
                <w:rFonts w:ascii="Times New Roman" w:hAnsi="Times New Roman"/>
                <w:sz w:val="20"/>
              </w:rPr>
              <w:t>Exklusiver Buy-side Counsel (Corporate, Tax, Employment)</w:t>
            </w:r>
          </w:p>
        </w:tc>
      </w:tr>
      <w:tr>
        <w:tc>
          <w:tcPr>
            <w:tcW w:type="dxa" w:w="4536"/>
          </w:tcPr>
          <w:p>
            <w:r>
              <w:rPr>
                <w:rFonts w:ascii="Times New Roman" w:hAnsi="Times New Roman"/>
                <w:sz w:val="20"/>
              </w:rPr>
              <w:t>Federführung</w:t>
            </w:r>
          </w:p>
        </w:tc>
        <w:tc>
          <w:tcPr>
            <w:tcW w:type="dxa" w:w="4536"/>
          </w:tcPr>
          <w:p>
            <w:r>
              <w:rPr>
                <w:rFonts w:ascii="Times New Roman" w:hAnsi="Times New Roman"/>
                <w:sz w:val="20"/>
              </w:rPr>
              <w:t>Dr. Markus Weidemann (Corporate), Dr. Sabine Roth (Tax), Fabian Köhler (Employment)</w:t>
            </w:r>
          </w:p>
        </w:tc>
      </w:tr>
    </w:tbl>
    <w:p/>
    <w:p>
      <w:pPr>
        <w:pStyle w:val="Heading2"/>
      </w:pPr>
      <w:r>
        <w:rPr>
          <w:rFonts w:ascii="Times New Roman" w:hAnsi="Times New Roman"/>
        </w:rPr>
        <w:t>2. Sachverhalt und Hintergrund</w:t>
      </w:r>
    </w:p>
    <w:p>
      <w:pPr>
        <w:jc w:val="left"/>
      </w:pPr>
      <w:r>
        <w:t>Die Solaris Industries AG (nachfolgend "Target" oder "Gesellschaft") ist eine deutsche Aktiengesellschaft mit Sitz in Augsburg und entwickelt sowie produziert hochpräzise Antriebssysteme für industrielle Fertigungsanlagen. Das Unternehmen beschäftigt rund 920 Mitarbeiter und erzielte im Geschäftsjahr 2023 einen Konzernumsatz von ca. EUR 214 Mio. (unbereinigt, inklusive Sparten, die nicht Gegenstand dieser Transaktion sind) bei einem bereinigten EBITDA von ca. EUR 38 Mio. (Marge ca. 17,8 %).</w:t>
      </w:r>
    </w:p>
    <w:p>
      <w:pPr>
        <w:jc w:val="left"/>
      </w:pPr>
      <w:r>
        <w:t>Die Verkäuferin, die Solaris Familienholding AG, hält 94,7 % der Aktien der Target; die verbleibenden 5,3 % werden von einem Minderheitsgesellschafter (Beteiligungsgesellschaft der Gründerfamilie Grünwald, zweiter Ast) gehalten. Diese Splitterminderheit ist im Gesellschaftervertrag nicht mit besonderen Rechten ausgestattet, könnte aber im Rahmen des Squeeze-out-Verfahrens nach §§ 327a ff. AktG relevant werden.</w:t>
      </w:r>
    </w:p>
    <w:p>
      <w:pPr>
        <w:jc w:val="left"/>
      </w:pPr>
      <w:r>
        <w:t xml:space="preserve">Die Transaktion ist als </w:t>
      </w:r>
      <w:r>
        <w:rPr>
          <w:b/>
        </w:rPr>
        <w:t>Carve-out</w:t>
      </w:r>
      <w:r>
        <w:t xml:space="preserve"> der Sparte "Precision Drive Systems" (PDS) aus dem Konzernverbund strukturiert. PDS umfasst drei Produktionsstandorte (Augsburg, Gera, Brünn/Tschechien), drei Vertriebsgesellschaften (Solaris Distribution Italia S.r.l., Solaris Distribution US Inc., Solaris Distribution Singapore Pte. Ltd.) sowie die gruppeninternen IP-Rechte, die aktuell noch bei der Holding lizenziert sind. Eine Vorab-Ausgliederung der Servicegesellschaft Solaris Service GmbH in die Target-Struktur ist Teil des Transaktionsdesigns und muss vor Signing abgeschlossen sein.</w:t>
      </w:r>
    </w:p>
    <w:p>
      <w:pPr>
        <w:jc w:val="left"/>
      </w:pPr>
      <w:r>
        <w:t>Der strukturierte Bieterprozess wurde am 3. Oktober 2024 mit Versand des Process Letter Phase 1 durch die Investmentbank Meridian Corporate Finance GmbH eröffnet. Gegenwärtig befinden sich vier Bieter im Prozess (Eagle Capital Partners als unser Mandant sowie drei weitere, nicht offengelegte Interessenten). Der Exklusivitätsanspruch für Eagle Capital Partners besteht noch nicht; ein Preferred Bidder Letter wird für Ende November 2024 erwartet.</w:t>
      </w:r>
    </w:p>
    <w:p/>
    <w:p>
      <w:pPr>
        <w:pStyle w:val="Heading2"/>
      </w:pPr>
      <w:r>
        <w:rPr>
          <w:rFonts w:ascii="Times New Roman" w:hAnsi="Times New Roman"/>
        </w:rPr>
        <w:t>3. Besonderheiten und Risikoprofil</w:t>
      </w:r>
    </w:p>
    <w:p>
      <w:pPr>
        <w:pStyle w:val="Heading3"/>
      </w:pPr>
      <w:r>
        <w:rPr>
          <w:rFonts w:ascii="Times New Roman" w:hAnsi="Times New Roman"/>
        </w:rPr>
        <w:t>3.1 Carve-out-Komplexität</w:t>
      </w:r>
    </w:p>
    <w:p>
      <w:pPr>
        <w:jc w:val="left"/>
      </w:pPr>
      <w:r>
        <w:t>Der Carve-out erfordert eine Reihe von Vorab-Maßnahmen auf Verkäuferseite:</w:t>
      </w:r>
    </w:p>
    <w:p>
      <w:pPr>
        <w:pStyle w:val="ListBullet"/>
      </w:pPr>
      <w:r>
        <w:t>Ausgliederung der Solaris Service GmbH aus der Holding-Ebene auf Target-Ebene (UmwStG-konform, Buchwertfortführung angestrebt)</w:t>
      </w:r>
    </w:p>
    <w:p>
      <w:pPr>
        <w:pStyle w:val="ListBullet"/>
      </w:pPr>
      <w:r>
        <w:t>Trennung konzerninterner Dienstleistungsverträge (IT, HR, Treasury, Versicherung) und Abschluss von Transitional Service Agreements (TSA)</w:t>
      </w:r>
    </w:p>
    <w:p>
      <w:pPr>
        <w:pStyle w:val="ListBullet"/>
      </w:pPr>
      <w:r>
        <w:t>Übertragung der IP-Rechte (Schutzrechte, Marken, Software-Lizenzen) auf die Target-Gesellschaft gegen marktübliche Einmalzahlung oder Lizenzgebühr bis Closing</w:t>
      </w:r>
    </w:p>
    <w:p>
      <w:pPr>
        <w:pStyle w:val="Heading3"/>
      </w:pPr>
      <w:r>
        <w:rPr>
          <w:rFonts w:ascii="Times New Roman" w:hAnsi="Times New Roman"/>
        </w:rPr>
        <w:t>3.2 Steuerliche Frühwarnsignale</w:t>
      </w:r>
    </w:p>
    <w:p>
      <w:pPr>
        <w:jc w:val="left"/>
      </w:pPr>
      <w:r>
        <w:t>Das Tax-Team hat folgende Punkte identifiziert, die einer vertieften Prüfung bedürfen:</w:t>
      </w:r>
    </w:p>
    <w:p>
      <w:pPr>
        <w:pStyle w:val="ListBullet"/>
      </w:pPr>
      <w:r>
        <w:t>Umwandlung einer Tochtergesellschaft im Jahr 2024 (Rückwirkungszeitraum unklar, potenzielle Steuerschuld)</w:t>
      </w:r>
    </w:p>
    <w:p>
      <w:pPr>
        <w:pStyle w:val="ListBullet"/>
      </w:pPr>
      <w:r>
        <w:t>Verlustvorträge: Nutzbarkeit nach § 8c KStG (schädlicher Beteiligungserwerb) prüfen</w:t>
      </w:r>
    </w:p>
    <w:p>
      <w:pPr>
        <w:pStyle w:val="ListBullet"/>
      </w:pPr>
      <w:r>
        <w:t>Transfer-Pricing-Dokumentation für die ausländischen Vertriebsgesellschaften</w:t>
      </w:r>
    </w:p>
    <w:p>
      <w:pPr>
        <w:pStyle w:val="ListBullet"/>
      </w:pPr>
      <w:r>
        <w:t>US-Tax-Aspekte der Solaris Distribution US Inc. (Delaware, C-Corp)</w:t>
      </w:r>
    </w:p>
    <w:p>
      <w:pPr>
        <w:pStyle w:val="Heading3"/>
      </w:pPr>
      <w:r>
        <w:rPr>
          <w:rFonts w:ascii="Times New Roman" w:hAnsi="Times New Roman"/>
        </w:rPr>
        <w:t>3.3 StaRUG-Schatten</w:t>
      </w:r>
    </w:p>
    <w:p>
      <w:pPr>
        <w:jc w:val="left"/>
      </w:pPr>
      <w:r>
        <w:t>Für die Solaris Distribution Italia S.r.l. liegen Hinweise auf eine angespannte Liquiditätslage vor. Ein StaRUG-Schattenfall für die Tochtergesellschaft ist nicht auszuschließen. Das Restructuring-Team (Konsultation) prüft aktuell, ob sich hieraus Closing-Bedingungen ableiten lassen.</w:t>
      </w:r>
    </w:p>
    <w:p>
      <w:pPr>
        <w:pStyle w:val="Heading3"/>
      </w:pPr>
      <w:r>
        <w:rPr>
          <w:rFonts w:ascii="Times New Roman" w:hAnsi="Times New Roman"/>
        </w:rPr>
        <w:t>3.4 W&amp;I-Versicherung</w:t>
      </w:r>
    </w:p>
    <w:p>
      <w:pPr>
        <w:jc w:val="left"/>
      </w:pPr>
      <w:r>
        <w:t>Eagle Capital Partners hat signalisiert, W&amp;I-Versicherung nutzen zu wollen. Der W&amp;I-Underwriting-Prozess soll parallel zur DD laufen. Seller-Limitations werden im SPA entsprechend ausgestaltet.</w:t>
      </w:r>
    </w:p>
    <w:p>
      <w:pPr>
        <w:pStyle w:val="Heading3"/>
      </w:pPr>
      <w:r>
        <w:rPr>
          <w:rFonts w:ascii="Times New Roman" w:hAnsi="Times New Roman"/>
        </w:rPr>
        <w:t>3.5 Fusionskontrolle und FDI</w:t>
      </w:r>
    </w:p>
    <w:p>
      <w:pPr>
        <w:pStyle w:val="ListBullet"/>
      </w:pPr>
      <w:r>
        <w:t>Fusionskontrolle: Voraussichtlich europäische Fusionskontrolle nicht eröffnet (Umsatzschwellen prüfen). Deutsche Fusionskontrolle (§§ 35 ff. GWB) wahrscheinlich einschlägig (Anmeldung beim Bundeskartellamt erforderlich).</w:t>
      </w:r>
    </w:p>
    <w:p>
      <w:pPr>
        <w:pStyle w:val="ListBullet"/>
      </w:pPr>
      <w:r>
        <w:t>FDI-Screening: Solaris Industries AG ist in Bereichen tätig, die unter § 55 AWV fallen könnten (Dual-Use-Exportkontrolle, Rüstungsnahe Produkte). AWV-Prüfung im Gange; ggf. Anmeldepflicht beim BMWi.</w:t>
      </w:r>
    </w:p>
    <w:p/>
    <w:p>
      <w:pPr>
        <w:pStyle w:val="Heading2"/>
      </w:pPr>
      <w:r>
        <w:rPr>
          <w:rFonts w:ascii="Times New Roman" w:hAnsi="Times New Roman"/>
        </w:rPr>
        <w:t>4. Deal-Team-Struktur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Funktion</w:t>
            </w:r>
          </w:p>
        </w:tc>
        <w:tc>
          <w:tcPr>
            <w:tcW w:type="dxa" w:w="3024"/>
          </w:tcPr>
          <w:p>
            <w:r>
              <w:rPr>
                <w:rFonts w:ascii="Times New Roman" w:hAnsi="Times New Roman"/>
                <w:b/>
                <w:sz w:val="20"/>
              </w:rPr>
              <w:t>Name</w:t>
            </w:r>
          </w:p>
        </w:tc>
        <w:tc>
          <w:tcPr>
            <w:tcW w:type="dxa" w:w="3024"/>
          </w:tcPr>
          <w:p>
            <w:r>
              <w:rPr>
                <w:rFonts w:ascii="Times New Roman" w:hAnsi="Times New Roman"/>
                <w:b/>
                <w:sz w:val="20"/>
              </w:rPr>
              <w:t>Workstream</w:t>
            </w:r>
          </w:p>
        </w:tc>
      </w:tr>
      <w:tr>
        <w:tc>
          <w:tcPr>
            <w:tcW w:type="dxa" w:w="3024"/>
          </w:tcPr>
          <w:p>
            <w:r>
              <w:rPr>
                <w:rFonts w:ascii="Times New Roman" w:hAnsi="Times New Roman"/>
                <w:sz w:val="20"/>
              </w:rPr>
              <w:t>Lead Partner</w:t>
            </w:r>
          </w:p>
        </w:tc>
        <w:tc>
          <w:tcPr>
            <w:tcW w:type="dxa" w:w="3024"/>
          </w:tcPr>
          <w:p>
            <w:r>
              <w:rPr>
                <w:rFonts w:ascii="Times New Roman" w:hAnsi="Times New Roman"/>
                <w:sz w:val="20"/>
              </w:rPr>
              <w:t>Dr. Markus Weidemann</w:t>
            </w:r>
          </w:p>
        </w:tc>
        <w:tc>
          <w:tcPr>
            <w:tcW w:type="dxa" w:w="3024"/>
          </w:tcPr>
          <w:p>
            <w:r>
              <w:rPr>
                <w:rFonts w:ascii="Times New Roman" w:hAnsi="Times New Roman"/>
                <w:sz w:val="20"/>
              </w:rPr>
              <w:t>Corporate M&amp;A</w:t>
            </w:r>
          </w:p>
        </w:tc>
      </w:tr>
      <w:tr>
        <w:tc>
          <w:tcPr>
            <w:tcW w:type="dxa" w:w="3024"/>
          </w:tcPr>
          <w:p>
            <w:r>
              <w:rPr>
                <w:rFonts w:ascii="Times New Roman" w:hAnsi="Times New Roman"/>
                <w:sz w:val="20"/>
              </w:rPr>
              <w:t>Tax Partner</w:t>
            </w:r>
          </w:p>
        </w:tc>
        <w:tc>
          <w:tcPr>
            <w:tcW w:type="dxa" w:w="3024"/>
          </w:tcPr>
          <w:p>
            <w:r>
              <w:rPr>
                <w:rFonts w:ascii="Times New Roman" w:hAnsi="Times New Roman"/>
                <w:sz w:val="20"/>
              </w:rPr>
              <w:t>Dr. Sabine Roth</w:t>
            </w:r>
          </w:p>
        </w:tc>
        <w:tc>
          <w:tcPr>
            <w:tcW w:type="dxa" w:w="3024"/>
          </w:tcPr>
          <w:p>
            <w:r>
              <w:rPr>
                <w:rFonts w:ascii="Times New Roman" w:hAnsi="Times New Roman"/>
                <w:sz w:val="20"/>
              </w:rPr>
              <w:t>Tax/Steuer</w:t>
            </w:r>
          </w:p>
        </w:tc>
      </w:tr>
      <w:tr>
        <w:tc>
          <w:tcPr>
            <w:tcW w:type="dxa" w:w="3024"/>
          </w:tcPr>
          <w:p>
            <w:r>
              <w:rPr>
                <w:rFonts w:ascii="Times New Roman" w:hAnsi="Times New Roman"/>
                <w:sz w:val="20"/>
              </w:rPr>
              <w:t>Employment Counsel</w:t>
            </w:r>
          </w:p>
        </w:tc>
        <w:tc>
          <w:tcPr>
            <w:tcW w:type="dxa" w:w="3024"/>
          </w:tcPr>
          <w:p>
            <w:r>
              <w:rPr>
                <w:rFonts w:ascii="Times New Roman" w:hAnsi="Times New Roman"/>
                <w:sz w:val="20"/>
              </w:rPr>
              <w:t>Fabian Köhler</w:t>
            </w:r>
          </w:p>
        </w:tc>
        <w:tc>
          <w:tcPr>
            <w:tcW w:type="dxa" w:w="3024"/>
          </w:tcPr>
          <w:p>
            <w:r>
              <w:rPr>
                <w:rFonts w:ascii="Times New Roman" w:hAnsi="Times New Roman"/>
                <w:sz w:val="20"/>
              </w:rPr>
              <w:t>Employment/HR</w:t>
            </w:r>
          </w:p>
        </w:tc>
      </w:tr>
      <w:tr>
        <w:tc>
          <w:tcPr>
            <w:tcW w:type="dxa" w:w="3024"/>
          </w:tcPr>
          <w:p>
            <w:r>
              <w:rPr>
                <w:rFonts w:ascii="Times New Roman" w:hAnsi="Times New Roman"/>
                <w:sz w:val="20"/>
              </w:rPr>
              <w:t>IP Counsel</w:t>
            </w:r>
          </w:p>
        </w:tc>
        <w:tc>
          <w:tcPr>
            <w:tcW w:type="dxa" w:w="3024"/>
          </w:tcPr>
          <w:p>
            <w:r>
              <w:rPr>
                <w:rFonts w:ascii="Times New Roman" w:hAnsi="Times New Roman"/>
                <w:sz w:val="20"/>
              </w:rPr>
              <w:t>Dr. Lena Brandt</w:t>
            </w:r>
          </w:p>
        </w:tc>
        <w:tc>
          <w:tcPr>
            <w:tcW w:type="dxa" w:w="3024"/>
          </w:tcPr>
          <w:p>
            <w:r>
              <w:rPr>
                <w:rFonts w:ascii="Times New Roman" w:hAnsi="Times New Roman"/>
                <w:sz w:val="20"/>
              </w:rPr>
              <w:t>IP/IT</w:t>
            </w:r>
          </w:p>
        </w:tc>
      </w:tr>
      <w:tr>
        <w:tc>
          <w:tcPr>
            <w:tcW w:type="dxa" w:w="3024"/>
          </w:tcPr>
          <w:p>
            <w:r>
              <w:rPr>
                <w:rFonts w:ascii="Times New Roman" w:hAnsi="Times New Roman"/>
                <w:sz w:val="20"/>
              </w:rPr>
              <w:t>Regulatory Counsel</w:t>
            </w:r>
          </w:p>
        </w:tc>
        <w:tc>
          <w:tcPr>
            <w:tcW w:type="dxa" w:w="3024"/>
          </w:tcPr>
          <w:p>
            <w:r>
              <w:rPr>
                <w:rFonts w:ascii="Times New Roman" w:hAnsi="Times New Roman"/>
                <w:sz w:val="20"/>
              </w:rPr>
              <w:t>Dr. Hans-Peter Fuchs</w:t>
            </w:r>
          </w:p>
        </w:tc>
        <w:tc>
          <w:tcPr>
            <w:tcW w:type="dxa" w:w="3024"/>
          </w:tcPr>
          <w:p>
            <w:r>
              <w:rPr>
                <w:rFonts w:ascii="Times New Roman" w:hAnsi="Times New Roman"/>
                <w:sz w:val="20"/>
              </w:rPr>
              <w:t>Regulatory/FDI</w:t>
            </w:r>
          </w:p>
        </w:tc>
      </w:tr>
      <w:tr>
        <w:tc>
          <w:tcPr>
            <w:tcW w:type="dxa" w:w="3024"/>
          </w:tcPr>
          <w:p>
            <w:r>
              <w:rPr>
                <w:rFonts w:ascii="Times New Roman" w:hAnsi="Times New Roman"/>
                <w:sz w:val="20"/>
              </w:rPr>
              <w:t>Senior Associate</w:t>
            </w:r>
          </w:p>
        </w:tc>
        <w:tc>
          <w:tcPr>
            <w:tcW w:type="dxa" w:w="3024"/>
          </w:tcPr>
          <w:p>
            <w:r>
              <w:rPr>
                <w:rFonts w:ascii="Times New Roman" w:hAnsi="Times New Roman"/>
                <w:sz w:val="20"/>
              </w:rPr>
              <w:t>Katharina Pfeiffer</w:t>
            </w:r>
          </w:p>
        </w:tc>
        <w:tc>
          <w:tcPr>
            <w:tcW w:type="dxa" w:w="3024"/>
          </w:tcPr>
          <w:p>
            <w:r>
              <w:rPr>
                <w:rFonts w:ascii="Times New Roman" w:hAnsi="Times New Roman"/>
                <w:sz w:val="20"/>
              </w:rPr>
              <w:t>Corporate/Carve-out</w:t>
            </w:r>
          </w:p>
        </w:tc>
      </w:tr>
      <w:tr>
        <w:tc>
          <w:tcPr>
            <w:tcW w:type="dxa" w:w="3024"/>
          </w:tcPr>
          <w:p>
            <w:r>
              <w:rPr>
                <w:rFonts w:ascii="Times New Roman" w:hAnsi="Times New Roman"/>
                <w:sz w:val="20"/>
              </w:rPr>
              <w:t>Associate</w:t>
            </w:r>
          </w:p>
        </w:tc>
        <w:tc>
          <w:tcPr>
            <w:tcW w:type="dxa" w:w="3024"/>
          </w:tcPr>
          <w:p>
            <w:r>
              <w:rPr>
                <w:rFonts w:ascii="Times New Roman" w:hAnsi="Times New Roman"/>
                <w:sz w:val="20"/>
              </w:rPr>
              <w:t>Tim Berger</w:t>
            </w:r>
          </w:p>
        </w:tc>
        <w:tc>
          <w:tcPr>
            <w:tcW w:type="dxa" w:w="3024"/>
          </w:tcPr>
          <w:p>
            <w:r>
              <w:rPr>
                <w:rFonts w:ascii="Times New Roman" w:hAnsi="Times New Roman"/>
                <w:sz w:val="20"/>
              </w:rPr>
              <w:t>Litigation/Red Flags</w:t>
            </w:r>
          </w:p>
        </w:tc>
      </w:tr>
      <w:tr>
        <w:tc>
          <w:tcPr>
            <w:tcW w:type="dxa" w:w="3024"/>
          </w:tcPr>
          <w:p>
            <w:r>
              <w:rPr>
                <w:rFonts w:ascii="Times New Roman" w:hAnsi="Times New Roman"/>
                <w:sz w:val="20"/>
              </w:rPr>
              <w:t>Paralegal</w:t>
            </w:r>
          </w:p>
        </w:tc>
        <w:tc>
          <w:tcPr>
            <w:tcW w:type="dxa" w:w="3024"/>
          </w:tcPr>
          <w:p>
            <w:r>
              <w:rPr>
                <w:rFonts w:ascii="Times New Roman" w:hAnsi="Times New Roman"/>
                <w:sz w:val="20"/>
              </w:rPr>
              <w:t>Sophie Maurer</w:t>
            </w:r>
          </w:p>
        </w:tc>
        <w:tc>
          <w:tcPr>
            <w:tcW w:type="dxa" w:w="3024"/>
          </w:tcPr>
          <w:p>
            <w:r>
              <w:rPr>
                <w:rFonts w:ascii="Times New Roman" w:hAnsi="Times New Roman"/>
                <w:sz w:val="20"/>
              </w:rPr>
              <w:t>Datenraum-Management</w:t>
            </w:r>
          </w:p>
        </w:tc>
      </w:tr>
    </w:tbl>
    <w:p/>
    <w:p>
      <w:pPr>
        <w:pStyle w:val="Heading2"/>
      </w:pPr>
      <w:r>
        <w:rPr>
          <w:rFonts w:ascii="Times New Roman" w:hAnsi="Times New Roman"/>
        </w:rPr>
        <w:t>5. Zeitplan (vorläufig)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Meilenstein</w:t>
            </w:r>
          </w:p>
        </w:tc>
        <w:tc>
          <w:tcPr>
            <w:tcW w:type="dxa" w:w="4536"/>
          </w:tcPr>
          <w:p>
            <w:r>
              <w:rPr>
                <w:rFonts w:ascii="Times New Roman" w:hAnsi="Times New Roman"/>
                <w:b/>
                <w:sz w:val="20"/>
              </w:rPr>
              <w:t>Geplantes Datum</w:t>
            </w:r>
          </w:p>
        </w:tc>
      </w:tr>
      <w:tr>
        <w:tc>
          <w:tcPr>
            <w:tcW w:type="dxa" w:w="4536"/>
          </w:tcPr>
          <w:p>
            <w:r>
              <w:rPr>
                <w:rFonts w:ascii="Times New Roman" w:hAnsi="Times New Roman"/>
                <w:sz w:val="20"/>
              </w:rPr>
              <w:t>Process Letter Phase 1</w:t>
            </w:r>
          </w:p>
        </w:tc>
        <w:tc>
          <w:tcPr>
            <w:tcW w:type="dxa" w:w="4536"/>
          </w:tcPr>
          <w:p>
            <w:r>
              <w:rPr>
                <w:rFonts w:ascii="Times New Roman" w:hAnsi="Times New Roman"/>
                <w:sz w:val="20"/>
              </w:rPr>
              <w:t>3. Oktober 2024</w:t>
            </w:r>
          </w:p>
        </w:tc>
      </w:tr>
      <w:tr>
        <w:tc>
          <w:tcPr>
            <w:tcW w:type="dxa" w:w="4536"/>
          </w:tcPr>
          <w:p>
            <w:r>
              <w:rPr>
                <w:rFonts w:ascii="Times New Roman" w:hAnsi="Times New Roman"/>
                <w:sz w:val="20"/>
              </w:rPr>
              <w:t>Indikatives Angebot</w:t>
            </w:r>
          </w:p>
        </w:tc>
        <w:tc>
          <w:tcPr>
            <w:tcW w:type="dxa" w:w="4536"/>
          </w:tcPr>
          <w:p>
            <w:r>
              <w:rPr>
                <w:rFonts w:ascii="Times New Roman" w:hAnsi="Times New Roman"/>
                <w:sz w:val="20"/>
              </w:rPr>
              <w:t>31. Oktober 2024</w:t>
            </w:r>
          </w:p>
        </w:tc>
      </w:tr>
      <w:tr>
        <w:tc>
          <w:tcPr>
            <w:tcW w:type="dxa" w:w="4536"/>
          </w:tcPr>
          <w:p>
            <w:r>
              <w:rPr>
                <w:rFonts w:ascii="Times New Roman" w:hAnsi="Times New Roman"/>
                <w:sz w:val="20"/>
              </w:rPr>
              <w:t>Preferred Bidder Letter</w:t>
            </w:r>
          </w:p>
        </w:tc>
        <w:tc>
          <w:tcPr>
            <w:tcW w:type="dxa" w:w="4536"/>
          </w:tcPr>
          <w:p>
            <w:r>
              <w:rPr>
                <w:rFonts w:ascii="Times New Roman" w:hAnsi="Times New Roman"/>
                <w:sz w:val="20"/>
              </w:rPr>
              <w:t>ca. 22. November 2024</w:t>
            </w:r>
          </w:p>
        </w:tc>
      </w:tr>
      <w:tr>
        <w:tc>
          <w:tcPr>
            <w:tcW w:type="dxa" w:w="4536"/>
          </w:tcPr>
          <w:p>
            <w:r>
              <w:rPr>
                <w:rFonts w:ascii="Times New Roman" w:hAnsi="Times New Roman"/>
                <w:sz w:val="20"/>
              </w:rPr>
              <w:t>Datenraumöffnung Phase 2</w:t>
            </w:r>
          </w:p>
        </w:tc>
        <w:tc>
          <w:tcPr>
            <w:tcW w:type="dxa" w:w="4536"/>
          </w:tcPr>
          <w:p>
            <w:r>
              <w:rPr>
                <w:rFonts w:ascii="Times New Roman" w:hAnsi="Times New Roman"/>
                <w:sz w:val="20"/>
              </w:rPr>
              <w:t>25. November 2024</w:t>
            </w:r>
          </w:p>
        </w:tc>
      </w:tr>
      <w:tr>
        <w:tc>
          <w:tcPr>
            <w:tcW w:type="dxa" w:w="4536"/>
          </w:tcPr>
          <w:p>
            <w:r>
              <w:rPr>
                <w:rFonts w:ascii="Times New Roman" w:hAnsi="Times New Roman"/>
                <w:sz w:val="20"/>
              </w:rPr>
              <w:t>Management Presentations</w:t>
            </w:r>
          </w:p>
        </w:tc>
        <w:tc>
          <w:tcPr>
            <w:tcW w:type="dxa" w:w="4536"/>
          </w:tcPr>
          <w:p>
            <w:r>
              <w:rPr>
                <w:rFonts w:ascii="Times New Roman" w:hAnsi="Times New Roman"/>
                <w:sz w:val="20"/>
              </w:rPr>
              <w:t>2.–6. Dezember 2024</w:t>
            </w:r>
          </w:p>
        </w:tc>
      </w:tr>
      <w:tr>
        <w:tc>
          <w:tcPr>
            <w:tcW w:type="dxa" w:w="4536"/>
          </w:tcPr>
          <w:p>
            <w:r>
              <w:rPr>
                <w:rFonts w:ascii="Times New Roman" w:hAnsi="Times New Roman"/>
                <w:sz w:val="20"/>
              </w:rPr>
              <w:t>Binding Offer</w:t>
            </w:r>
          </w:p>
        </w:tc>
        <w:tc>
          <w:tcPr>
            <w:tcW w:type="dxa" w:w="4536"/>
          </w:tcPr>
          <w:p>
            <w:r>
              <w:rPr>
                <w:rFonts w:ascii="Times New Roman" w:hAnsi="Times New Roman"/>
                <w:sz w:val="20"/>
              </w:rPr>
              <w:t>13. Januar 2025</w:t>
            </w:r>
          </w:p>
        </w:tc>
      </w:tr>
      <w:tr>
        <w:tc>
          <w:tcPr>
            <w:tcW w:type="dxa" w:w="4536"/>
          </w:tcPr>
          <w:p>
            <w:r>
              <w:rPr>
                <w:rFonts w:ascii="Times New Roman" w:hAnsi="Times New Roman"/>
                <w:sz w:val="20"/>
              </w:rPr>
              <w:t>SPA Signing</w:t>
            </w:r>
          </w:p>
        </w:tc>
        <w:tc>
          <w:tcPr>
            <w:tcW w:type="dxa" w:w="4536"/>
          </w:tcPr>
          <w:p>
            <w:r>
              <w:rPr>
                <w:rFonts w:ascii="Times New Roman" w:hAnsi="Times New Roman"/>
                <w:sz w:val="20"/>
              </w:rPr>
              <w:t>ca. 28. Januar 2025</w:t>
            </w:r>
          </w:p>
        </w:tc>
      </w:tr>
      <w:tr>
        <w:tc>
          <w:tcPr>
            <w:tcW w:type="dxa" w:w="4536"/>
          </w:tcPr>
          <w:p>
            <w:r>
              <w:rPr>
                <w:rFonts w:ascii="Times New Roman" w:hAnsi="Times New Roman"/>
                <w:sz w:val="20"/>
              </w:rPr>
              <w:t>Regulatory Freigabe</w:t>
            </w:r>
          </w:p>
        </w:tc>
        <w:tc>
          <w:tcPr>
            <w:tcW w:type="dxa" w:w="4536"/>
          </w:tcPr>
          <w:p>
            <w:r>
              <w:rPr>
                <w:rFonts w:ascii="Times New Roman" w:hAnsi="Times New Roman"/>
                <w:sz w:val="20"/>
              </w:rPr>
              <w:t>Closing-Bedingung, ca. 8 Wochen</w:t>
            </w:r>
          </w:p>
        </w:tc>
      </w:tr>
      <w:tr>
        <w:tc>
          <w:tcPr>
            <w:tcW w:type="dxa" w:w="4536"/>
          </w:tcPr>
          <w:p>
            <w:r>
              <w:rPr>
                <w:rFonts w:ascii="Times New Roman" w:hAnsi="Times New Roman"/>
                <w:sz w:val="20"/>
              </w:rPr>
              <w:t>Closing</w:t>
            </w:r>
          </w:p>
        </w:tc>
        <w:tc>
          <w:tcPr>
            <w:tcW w:type="dxa" w:w="4536"/>
          </w:tcPr>
          <w:p>
            <w:r>
              <w:rPr>
                <w:rFonts w:ascii="Times New Roman" w:hAnsi="Times New Roman"/>
                <w:sz w:val="20"/>
              </w:rPr>
              <w:t>ca. 31. März 2025</w:t>
            </w:r>
          </w:p>
        </w:tc>
      </w:tr>
    </w:tbl>
    <w:p/>
    <w:p>
      <w:pPr>
        <w:pStyle w:val="Heading2"/>
      </w:pPr>
      <w:r>
        <w:rPr>
          <w:rFonts w:ascii="Times New Roman" w:hAnsi="Times New Roman"/>
        </w:rPr>
        <w:t>6. Nächste Schritte</w:t>
      </w:r>
    </w:p>
    <w:p>
      <w:pPr>
        <w:pStyle w:val="ListBullet"/>
      </w:pPr>
      <w:r>
        <w:t>[ ] Conflict-Check und Sanctions-Screening abschließen (01_intake_conflicts)</w:t>
      </w:r>
    </w:p>
    <w:p>
      <w:pPr>
        <w:pStyle w:val="ListBullet"/>
      </w:pPr>
      <w:r>
        <w:t>[ ] Außen-Screening Target finalisieren (02_target_screening)</w:t>
      </w:r>
    </w:p>
    <w:p>
      <w:pPr>
        <w:pStyle w:val="ListBullet"/>
      </w:pPr>
      <w:r>
        <w:t>[ ] NDA-Verhandlung mit Seller-Counsel abschließen (03_teaser_processdocs)</w:t>
      </w:r>
    </w:p>
    <w:p>
      <w:pPr>
        <w:pStyle w:val="ListBullet"/>
      </w:pPr>
      <w:r>
        <w:t>[ ] Datenraum-Zugang Phase 1 einrichten und VDR-Index anlegen (04_datenraum)</w:t>
      </w:r>
    </w:p>
    <w:p>
      <w:pPr>
        <w:pStyle w:val="ListBullet"/>
      </w:pPr>
      <w:r>
        <w:t>[ ] DD-Scope-Memo an Mandant versenden (05_due_diligence)</w:t>
      </w:r>
    </w:p>
    <w:p>
      <w:pPr>
        <w:pStyle w:val="ListBullet"/>
      </w:pPr>
      <w:r>
        <w:t>[ ] Strukturgutachten Varianten A/B/C für Tax-Team vorbereiten (08_structure_umwandlung_tax)</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