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Aktenvermerk: Conflict-Check und Sanctions-Screening</w:t>
      </w:r>
    </w:p>
    <w:p>
      <w:pPr>
        <w:jc w:val="left"/>
      </w:pPr>
      <w:r>
        <w:rPr>
          <w:b/>
        </w:rPr>
        <w:t>Aktenzeichen:</w:t>
      </w:r>
      <w:r>
        <w:t xml:space="preserve"> MWK/2024/SIL-001</w:t>
      </w:r>
    </w:p>
    <w:p>
      <w:pPr>
        <w:jc w:val="left"/>
      </w:pPr>
      <w:r>
        <w:rPr>
          <w:b/>
        </w:rPr>
        <w:t>Vermerk-Nr.:</w:t>
      </w:r>
      <w:r>
        <w:t xml:space="preserve"> AV-001/SIL</w:t>
      </w:r>
    </w:p>
    <w:p>
      <w:pPr>
        <w:jc w:val="left"/>
      </w:pPr>
      <w:r>
        <w:rPr>
          <w:b/>
        </w:rPr>
        <w:t>Datum:</w:t>
      </w:r>
      <w:r>
        <w:t xml:space="preserve"> 14. Oktober 2024</w:t>
      </w:r>
    </w:p>
    <w:p>
      <w:pPr>
        <w:jc w:val="left"/>
      </w:pPr>
      <w:r>
        <w:rPr>
          <w:b/>
        </w:rPr>
        <w:t>Verfasser:</w:t>
      </w:r>
      <w:r>
        <w:t xml:space="preserve"> Dr. Markus Weidemann, Partner</w:t>
      </w:r>
    </w:p>
    <w:p>
      <w:pPr>
        <w:jc w:val="left"/>
      </w:pPr>
      <w:r>
        <w:rPr>
          <w:b/>
        </w:rPr>
        <w:t>Adressat:</w:t>
      </w:r>
      <w:r>
        <w:t xml:space="preserve"> Compliance-Abteilung / Frau Dr. Iris Hofer (Compliance-Partnerin)</w:t>
      </w:r>
    </w:p>
    <w:p>
      <w:pPr>
        <w:jc w:val="left"/>
      </w:pPr>
      <w:r>
        <w:rPr>
          <w:b/>
        </w:rPr>
        <w:t>Betreff:</w:t>
      </w:r>
      <w:r>
        <w:t xml:space="preserve"> Conflict-Check und Sanctions-Screening Projekt Silberfalke — Rohdaten und Zwischenstand</w:t>
      </w:r>
    </w:p>
    <w:p/>
    <w:p>
      <w:pPr>
        <w:pStyle w:val="Heading2"/>
      </w:pPr>
      <w:r>
        <w:rPr>
          <w:rFonts w:ascii="Times New Roman" w:hAnsi="Times New Roman"/>
        </w:rPr>
        <w:t>1. Anlass und Auftrag</w:t>
      </w:r>
    </w:p>
    <w:p>
      <w:pPr>
        <w:jc w:val="left"/>
      </w:pPr>
      <w:r>
        <w:t>Mit der Übernahme des Mandats (Engagement Letter unterzeichnet am 10. Oktober 2024) ist gemäß internen Compliance-Richtlinien unverzüglich ein vollständiger Conflict-Check sowie ein Sanctions-Screening durchzuführen. Der vorliegende Vermerk dokumentiert den Stand der bisher erhobenen Rohdaten und die offenen Punkte.</w:t>
      </w:r>
    </w:p>
    <w:p/>
    <w:p>
      <w:pPr>
        <w:pStyle w:val="Heading2"/>
      </w:pPr>
      <w:r>
        <w:rPr>
          <w:rFonts w:ascii="Times New Roman" w:hAnsi="Times New Roman"/>
        </w:rPr>
        <w:t>2. Beteiligte Parteien</w:t>
      </w:r>
    </w:p>
    <w:p>
      <w:pPr>
        <w:pStyle w:val="Heading3"/>
      </w:pPr>
      <w:r>
        <w:rPr>
          <w:rFonts w:ascii="Times New Roman" w:hAnsi="Times New Roman"/>
        </w:rPr>
        <w:t>2.1 Mandantin (Käuferin)</w:t>
      </w:r>
    </w:p>
    <w:p>
      <w:pPr>
        <w:jc w:val="left"/>
      </w:pPr>
      <w:r>
        <w:rPr>
          <w:b/>
        </w:rPr>
        <w:t>Eagle Capital Partners GmbH &amp; Co. KG</w:t>
      </w:r>
    </w:p>
    <w:p>
      <w:pPr>
        <w:jc w:val="left"/>
      </w:pPr>
      <w:r>
        <w:t>Sitz: Frankfurt am Main, Bockenheimer Landstraße 55, 60325 Frankfurt</w:t>
      </w:r>
    </w:p>
    <w:p>
      <w:pPr>
        <w:jc w:val="left"/>
      </w:pPr>
      <w:r>
        <w:t>Handelsregister: HRA 47221 (AG Frankfurt am Main)</w:t>
      </w:r>
    </w:p>
    <w:p>
      <w:pPr>
        <w:jc w:val="left"/>
      </w:pPr>
      <w:r>
        <w:t>Rechtsform: GmbH &amp; Co. KG (PE-Fonds)</w:t>
      </w:r>
    </w:p>
    <w:p>
      <w:pPr>
        <w:jc w:val="left"/>
      </w:pPr>
      <w:r>
        <w:t>Komplementärin: Eagle Capital Management GmbH (HRB 91043, AG Frankfurt am Main)</w:t>
      </w:r>
    </w:p>
    <w:p>
      <w:pPr>
        <w:jc w:val="left"/>
      </w:pPr>
      <w:r>
        <w:t>UBO/Fondsstruktur: Eagle Capital Fund IV LP (Delaware Limited Partnership), Investoren: institutionelle Investoren (Pensionskassen, Versicherungen), gemeldet gemäß GwG.</w:t>
      </w:r>
    </w:p>
    <w:p>
      <w:pPr>
        <w:jc w:val="left"/>
      </w:pPr>
      <w:r>
        <w:t>Bekannte Konflikte: keine (Stand 14.10.2024)</w:t>
      </w:r>
    </w:p>
    <w:p>
      <w:pPr>
        <w:pStyle w:val="Heading3"/>
      </w:pPr>
      <w:r>
        <w:rPr>
          <w:rFonts w:ascii="Times New Roman" w:hAnsi="Times New Roman"/>
        </w:rPr>
        <w:t>2.2 Verkäuferin</w:t>
      </w:r>
    </w:p>
    <w:p>
      <w:pPr>
        <w:jc w:val="left"/>
      </w:pPr>
      <w:r>
        <w:rPr>
          <w:b/>
        </w:rPr>
        <w:t>Solaris Familienholding AG</w:t>
      </w:r>
    </w:p>
    <w:p>
      <w:pPr>
        <w:jc w:val="left"/>
      </w:pPr>
      <w:r>
        <w:t>Sitz: Augsburg, Ulmer Straße 7, 86159 Augsburg</w:t>
      </w:r>
    </w:p>
    <w:p>
      <w:pPr>
        <w:jc w:val="left"/>
      </w:pPr>
      <w:r>
        <w:t>Handelsregister: HRB 12847 (AG Augsburg)</w:t>
      </w:r>
    </w:p>
    <w:p>
      <w:pPr>
        <w:jc w:val="left"/>
      </w:pPr>
      <w:r>
        <w:t>Aktionärsstruktur: Gründerfamilien Grünwald (72,4 %) und Winkel (27,6 %)</w:t>
      </w:r>
    </w:p>
    <w:p>
      <w:pPr>
        <w:jc w:val="left"/>
      </w:pPr>
      <w:r>
        <w:t>UBO-Klärungsbedarf: Familienstamm Grünwald — Übertragungen an Familienmitglieder zweiter Generation nicht vollständig im Unternehmensregister dokumentiert (s. u., Abschnitt 4)</w:t>
      </w:r>
    </w:p>
    <w:p>
      <w:pPr>
        <w:pStyle w:val="Heading3"/>
      </w:pPr>
      <w:r>
        <w:rPr>
          <w:rFonts w:ascii="Times New Roman" w:hAnsi="Times New Roman"/>
        </w:rPr>
        <w:t>2.3 Zielgesellschaft</w:t>
      </w:r>
    </w:p>
    <w:p>
      <w:pPr>
        <w:jc w:val="left"/>
      </w:pPr>
      <w:r>
        <w:rPr>
          <w:b/>
        </w:rPr>
        <w:t>Solaris Industries AG</w:t>
      </w:r>
    </w:p>
    <w:p>
      <w:pPr>
        <w:jc w:val="left"/>
      </w:pPr>
      <w:r>
        <w:t>Sitz: Augsburg, Industriestraße 40, 86154 Augsburg</w:t>
      </w:r>
    </w:p>
    <w:p>
      <w:pPr>
        <w:jc w:val="left"/>
      </w:pPr>
      <w:r>
        <w:t>Handelsregister: HRB 14572 (AG Augsburg)</w:t>
      </w:r>
    </w:p>
    <w:p>
      <w:pPr>
        <w:jc w:val="left"/>
      </w:pPr>
      <w:r>
        <w:t>Branche: Präzisionsantriebssysteme für Industrieanlagen</w:t>
      </w:r>
    </w:p>
    <w:p>
      <w:pPr>
        <w:jc w:val="left"/>
      </w:pPr>
      <w:r>
        <w:t>Tochtergesellschaften: Solaris Distribution Italia S.r.l. (Mailand), Solaris Distribution US Inc. (Delaware), Solaris Distribution Singapore Pte. Ltd. (Singapur), Solaris Service GmbH (Augsburg)</w:t>
      </w:r>
    </w:p>
    <w:p>
      <w:pPr>
        <w:pStyle w:val="Heading3"/>
      </w:pPr>
      <w:r>
        <w:rPr>
          <w:rFonts w:ascii="Times New Roman" w:hAnsi="Times New Roman"/>
        </w:rPr>
        <w:t>2.4 Investmentbank / Process Agent</w:t>
      </w:r>
    </w:p>
    <w:p>
      <w:pPr>
        <w:jc w:val="left"/>
      </w:pPr>
      <w:r>
        <w:rPr>
          <w:b/>
        </w:rPr>
        <w:t>Meridian Corporate Finance GmbH</w:t>
      </w:r>
    </w:p>
    <w:p>
      <w:pPr>
        <w:jc w:val="left"/>
      </w:pPr>
      <w:r>
        <w:t>Sitz: München, Maximilianstraße 14, 80539 München</w:t>
      </w:r>
    </w:p>
    <w:p>
      <w:pPr>
        <w:jc w:val="left"/>
      </w:pPr>
      <w:r>
        <w:t>Handelsregister: HRB 205648 (AG München)</w:t>
      </w:r>
    </w:p>
    <w:p>
      <w:pPr>
        <w:jc w:val="left"/>
      </w:pPr>
      <w:r>
        <w:t>Funktion: Sell-side Financial Advisor; kein Konflikt mit Kanzlei bekannt.</w:t>
      </w:r>
    </w:p>
    <w:p/>
    <w:p>
      <w:pPr>
        <w:pStyle w:val="Heading2"/>
      </w:pPr>
      <w:r>
        <w:rPr>
          <w:rFonts w:ascii="Times New Roman" w:hAnsi="Times New Roman"/>
        </w:rPr>
        <w:t>3. Conflict-Check Ergebnis (aktueller Stand)</w:t>
      </w:r>
    </w:p>
    <w:p>
      <w:pPr>
        <w:pStyle w:val="Heading3"/>
      </w:pPr>
      <w:r>
        <w:rPr>
          <w:rFonts w:ascii="Times New Roman" w:hAnsi="Times New Roman"/>
        </w:rPr>
        <w:t>3.1 Datenbanksuche interne Mandate</w:t>
      </w:r>
    </w:p>
    <w:p>
      <w:pPr>
        <w:jc w:val="left"/>
      </w:pPr>
      <w:r>
        <w:t>Die Suche in der kanzleiinternen Mandatsdatenbank nach den Suchbegriffen "Solaris", "Eagle Capital", "Grünwald", "Winkel", "Delta Maschinenbau", "Meridian Corporate Finance" und den natürlichen Personen der Geschäftsführung und Vorstände hat folgendes Ergebnis: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Suchbegriff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Solaris Industries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Konflikt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Solaris Familienholding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Konflikt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Eagle Capital Partners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Konflikt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Grünwald (Personennamen)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(Altmandat 2019, abgeschlossen)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aktueller Konflikt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Meridian Corporate Finance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Konflikt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Solaris Distribution US Inc.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Konflikt</w:t>
            </w:r>
          </w:p>
        </w:tc>
      </w:tr>
    </w:tbl>
    <w:p>
      <w:pPr>
        <w:jc w:val="left"/>
      </w:pPr>
      <w:r>
        <w:rPr>
          <w:b/>
        </w:rPr>
        <w:t>Ergebnis Conflict-Check:</w:t>
      </w:r>
      <w:r>
        <w:t xml:space="preserve"> Kein aktueller Interessenkonflikt identifiziert. Das Altmandat Grünwald (2019, Erbsache, abgeschlossen) betrifft andere Personen und ist seit über drei Jahren inaktiv; eine Interessenkollision ist ausgeschlossen.</w:t>
      </w:r>
    </w:p>
    <w:p>
      <w:pPr>
        <w:pStyle w:val="Heading3"/>
      </w:pPr>
      <w:r>
        <w:rPr>
          <w:rFonts w:ascii="Times New Roman" w:hAnsi="Times New Roman"/>
        </w:rPr>
        <w:t>3.2 Contra-Mandate aktiv</w:t>
      </w:r>
    </w:p>
    <w:p>
      <w:pPr>
        <w:jc w:val="left"/>
      </w:pPr>
      <w:r>
        <w:t>Es bestehen derzeit keine aktiven Mandate, bei denen eine der oben genannten Parteien Gegner oder Dritter ist.</w:t>
      </w:r>
    </w:p>
    <w:p/>
    <w:p>
      <w:pPr>
        <w:pStyle w:val="Heading2"/>
      </w:pPr>
      <w:r>
        <w:rPr>
          <w:rFonts w:ascii="Times New Roman" w:hAnsi="Times New Roman"/>
        </w:rPr>
        <w:t>4. Sanctions-Screening Rohdaten</w:t>
      </w:r>
    </w:p>
    <w:p>
      <w:pPr>
        <w:pStyle w:val="Heading3"/>
      </w:pPr>
      <w:r>
        <w:rPr>
          <w:rFonts w:ascii="Times New Roman" w:hAnsi="Times New Roman"/>
        </w:rPr>
        <w:t>4.1 Gescannte Listen</w:t>
      </w:r>
    </w:p>
    <w:p>
      <w:pPr>
        <w:jc w:val="left"/>
      </w:pPr>
      <w:r>
        <w:t>Das Sanctions-Screening wurde durchgeführt gegen folgende Listen (Stand: 14. Oktober 2024):</w:t>
      </w:r>
    </w:p>
    <w:p>
      <w:pPr>
        <w:pStyle w:val="ListBullet"/>
      </w:pPr>
      <w:r>
        <w:t>EU Consolidated Sanctions List (EUR-Lex)</w:t>
      </w:r>
    </w:p>
    <w:p>
      <w:pPr>
        <w:pStyle w:val="ListBullet"/>
      </w:pPr>
      <w:r>
        <w:t>SDN List (OFAC, USA)</w:t>
      </w:r>
    </w:p>
    <w:p>
      <w:pPr>
        <w:pStyle w:val="ListBullet"/>
      </w:pPr>
      <w:r>
        <w:t>UK Sanctions List (FCDO)</w:t>
      </w:r>
    </w:p>
    <w:p>
      <w:pPr>
        <w:pStyle w:val="ListBullet"/>
      </w:pPr>
      <w:r>
        <w:t>Bundeskriminalamt-Daten (verfügbar über Compliance-Tool Lexis Nexis WorldCheck)</w:t>
      </w:r>
    </w:p>
    <w:p>
      <w:pPr>
        <w:pStyle w:val="Heading3"/>
      </w:pPr>
      <w:r>
        <w:rPr>
          <w:rFonts w:ascii="Times New Roman" w:hAnsi="Times New Roman"/>
        </w:rPr>
        <w:t>4.2 Ergebnisse Screening juristische Personen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Gesellschaft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Screening-Ergebnis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Solaris Industries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Sanktionsrisiko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Solaris Familienholding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Sanktionsrisiko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Eagle Capital Partners GmbH &amp; Co. 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Sanktionsrisiko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Solaris Distribution US Inc.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US-OFAC: kein Treffer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Solaris Distribution Italia S.r.l.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Sanktionsrisiko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Solaris Distribution Singapore Pte. Ltd.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Sanktionsrisiko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Solaris Service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Sanktionsrisiko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4.3 Ergebnisse Screening natürliche Personen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Screening-Ergebnis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Friedrich Grünwald (Vorstand)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CEO Solaris Industries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Sanktionsrisiko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Margarete Grünwald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UBO Familienholding, Stamm 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Sanktionsrisiko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Harald Grünwald-Konrad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Putativ UBO, Stamm II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 zur Identität fehlt noch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Klaus-Peter Winkel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UBO Familienholding, Stamm Winkel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Sanktionsrisiko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Thomas Bergmann (CFO)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CFO Solaris Industries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Sanktionsrisiko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Anna Seifert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AR-Vorsitzende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Sanktionsrisiko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4.4 Offener Punkt: Harald Grünwald-Konrad</w:t>
      </w:r>
    </w:p>
    <w:p>
      <w:pPr>
        <w:jc w:val="left"/>
      </w:pPr>
      <w:r>
        <w:t>Harald Grünwald-Konrad (geb. ca. 1971) ist mutmaßlich wirtschaftlich Berechtigter gemäß § 3 GwG kraft seiner Stellung als mittelbarer Gesellschafter der Solaris Familienholding AG (zweiter Ast der Gründerfamilie Grünwald). Seine Identität ist bisher nicht durch einen amtlichen Lichtbildausweis und die vollständige UBO-Meldung im Transparenzregister belegt. Der Screening-Prozess ist deshalb für diesen Personenkreis noch nicht abgeschlossen.</w:t>
      </w:r>
    </w:p>
    <w:p>
      <w:pPr>
        <w:jc w:val="left"/>
      </w:pPr>
      <w:r>
        <w:rPr>
          <w:b/>
        </w:rPr>
        <w:t>Handlungserfordernis:</w:t>
      </w:r>
      <w:r>
        <w:t xml:space="preserve"> Seller Counsel (Dr. Bäumler, Kanzlei Bäumler &amp; Partner) wurde mit E-Mail vom 14. Oktober 2024 aufgefordert, bis zum 21. Oktober 2024 zu übermitteln:</w:t>
      </w:r>
    </w:p>
    <w:p>
      <w:pPr>
        <w:pStyle w:val="ListNumber"/>
      </w:pPr>
      <w:r>
        <w:t>Amtliche Ausweiskopie Harald Grünwald-Konrad</w:t>
      </w:r>
    </w:p>
    <w:p>
      <w:pPr>
        <w:pStyle w:val="ListNumber"/>
      </w:pPr>
      <w:r>
        <w:t>Nachweis der aktuellen Beteiligungsquote (Gesellschafterliste notariell beglaubigt)</w:t>
      </w:r>
    </w:p>
    <w:p>
      <w:pPr>
        <w:pStyle w:val="ListNumber"/>
      </w:pPr>
      <w:r>
        <w:t>Aktuellen Transparenzregistereintrag</w:t>
      </w:r>
    </w:p>
    <w:p>
      <w:pPr>
        <w:jc w:val="left"/>
      </w:pPr>
      <w:r>
        <w:t xml:space="preserve">Bis zur Vorlage dieser Unterlagen gilt das Sanctions-Screening als </w:t>
      </w:r>
      <w:r>
        <w:rPr>
          <w:b/>
        </w:rPr>
        <w:t>nicht abgeschlossen</w:t>
      </w:r>
      <w:r>
        <w:t>. Gemäß Kanzlei-Compliance-Policy Ziffer 4.3 darf die Mandatsarbeit fortgesetzt werden, solange keine Hinweise auf ein Sanktionsrisiko vorliegen; dem Mandanten ist jedoch schriftlich mitzuteilen, dass das abschließende Clearance-Votum noch aussteht.</w:t>
      </w:r>
    </w:p>
    <w:p/>
    <w:p>
      <w:pPr>
        <w:pStyle w:val="Heading2"/>
      </w:pPr>
      <w:r>
        <w:rPr>
          <w:rFonts w:ascii="Times New Roman" w:hAnsi="Times New Roman"/>
        </w:rPr>
        <w:t>5. GwG-Sorgfaltspflichten</w:t>
      </w:r>
    </w:p>
    <w:p>
      <w:pPr>
        <w:pStyle w:val="Heading3"/>
      </w:pPr>
      <w:r>
        <w:rPr>
          <w:rFonts w:ascii="Times New Roman" w:hAnsi="Times New Roman"/>
        </w:rPr>
        <w:t>5.1 Identifizierung Mandantin</w:t>
      </w:r>
    </w:p>
    <w:p>
      <w:pPr>
        <w:jc w:val="left"/>
      </w:pPr>
      <w:r>
        <w:t>Eagle Capital Partners GmbH &amp; Co. KG wurde als Mandantin gemäß § 10 Abs. 1 Nr. 1 GwG identifiziert:</w:t>
      </w:r>
    </w:p>
    <w:p>
      <w:pPr>
        <w:pStyle w:val="ListBullet"/>
      </w:pPr>
      <w:r>
        <w:t>Handelsregisterauszug (AG Frankfurt am Main, HR A 47221) — vorliegend</w:t>
      </w:r>
    </w:p>
    <w:p>
      <w:pPr>
        <w:pStyle w:val="ListBullet"/>
      </w:pPr>
      <w:r>
        <w:t>Gesellschaftsvertrag der GmbH &amp; Co. KG — vorliegend</w:t>
      </w:r>
    </w:p>
    <w:p>
      <w:pPr>
        <w:pStyle w:val="ListBullet"/>
      </w:pPr>
      <w:r>
        <w:t>Identifizierung der Komplementärin Eagle Capital Management GmbH — vorliegend</w:t>
      </w:r>
    </w:p>
    <w:p>
      <w:pPr>
        <w:pStyle w:val="ListBullet"/>
      </w:pPr>
      <w:r>
        <w:t>Identifizierung der wirtschaftlich Berechtigten des Fonds: Fondsstruktur Delaware LP; institutionelle Investoren; kein Einzelinvestor mit &gt; 25 % — dokumentiert</w:t>
      </w:r>
    </w:p>
    <w:p>
      <w:pPr>
        <w:pStyle w:val="Heading3"/>
      </w:pPr>
      <w:r>
        <w:rPr>
          <w:rFonts w:ascii="Times New Roman" w:hAnsi="Times New Roman"/>
        </w:rPr>
        <w:t>5.2 Politisch exponierte Personen (PEP)</w:t>
      </w:r>
    </w:p>
    <w:p>
      <w:pPr>
        <w:jc w:val="left"/>
      </w:pPr>
      <w:r>
        <w:t>Keine der identifizierten natürlichen Personen ist als PEP eingestuft. Dies gilt unter dem Vorbehalt des noch ausstehenden Nachweises für Harald Grünwald-Konrad.</w:t>
      </w:r>
    </w:p>
    <w:p/>
    <w:p>
      <w:pPr>
        <w:pStyle w:val="Heading2"/>
      </w:pPr>
      <w:r>
        <w:rPr>
          <w:rFonts w:ascii="Times New Roman" w:hAnsi="Times New Roman"/>
        </w:rPr>
        <w:t>6. Fazit und Empfehlung</w:t>
      </w:r>
    </w:p>
    <w:p>
      <w:pPr>
        <w:jc w:val="left"/>
      </w:pPr>
      <w:r>
        <w:t>Der Conflict-Check ist abgeschlossen und ohne Befund. Das Sanctions-Screening ist bis auf den Personenkreis Harald Grünwald-Konrad (Stamm Grünwald II) abgeschlossen und ohne Befund. Empfehlung: Mandatsfortführung unter Fristsetzung an Seller Counsel; Nachreichung der Unterlagen bis 21. Oktober 2024. Sollten die Unterlagen nicht fristgerecht eingehen, ist erneut mit der Compliance-Partnerin abzustimmen.</w:t>
      </w:r>
    </w:p>
    <w:p/>
    <w:p>
      <w:pPr>
        <w:jc w:val="left"/>
      </w:pPr>
      <w:r>
        <w:rPr>
          <w:b/>
        </w:rPr>
        <w:t>Anlagen:</w:t>
      </w:r>
    </w:p>
    <w:p>
      <w:pPr>
        <w:pStyle w:val="ListBullet"/>
      </w:pPr>
      <w:r>
        <w:t>Anlage 1: Handelsregisterauszüge (HRA 47221, HRB 12847, HRB 14572) — [VDR 01/Corp]</w:t>
      </w:r>
    </w:p>
    <w:p>
      <w:pPr>
        <w:pStyle w:val="ListBullet"/>
      </w:pPr>
      <w:r>
        <w:t>Anlage 2: WorldCheck-Screening-Protokoll vom 14.10.2024 — [kanzleiintern]</w:t>
      </w:r>
    </w:p>
    <w:p>
      <w:pPr>
        <w:pStyle w:val="ListBullet"/>
      </w:pPr>
      <w:r>
        <w:t>Anlage 3: E-Mail an Dr. Bäumler vom 14.10.2024 — [01_intake_conflicts/email_mandant.txt]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