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NDA Markup — Eagle Capital Partners (Buy-side Kommentare)</w:t>
      </w:r>
    </w:p>
    <w:p>
      <w:pPr>
        <w:jc w:val="left"/>
      </w:pPr>
      <w:r>
        <w:rPr>
          <w:b/>
        </w:rPr>
        <w:t>Aktenzeichen:</w:t>
      </w:r>
      <w:r>
        <w:t xml:space="preserve"> MWK/2024/SIL-001</w:t>
      </w:r>
    </w:p>
    <w:p>
      <w:pPr>
        <w:jc w:val="left"/>
      </w:pPr>
      <w:r>
        <w:rPr>
          <w:b/>
        </w:rPr>
        <w:t>Dokument-Nr.:</w:t>
      </w:r>
      <w:r>
        <w:t xml:space="preserve"> NDA-MARK-001/SIL</w:t>
      </w:r>
    </w:p>
    <w:p>
      <w:pPr>
        <w:jc w:val="left"/>
      </w:pPr>
      <w:r>
        <w:rPr>
          <w:b/>
        </w:rPr>
        <w:t>Datum:</w:t>
      </w:r>
      <w:r>
        <w:t xml:space="preserve"> 10. Oktober 2024</w:t>
      </w:r>
    </w:p>
    <w:p>
      <w:pPr>
        <w:jc w:val="left"/>
      </w:pPr>
      <w:r>
        <w:rPr>
          <w:b/>
        </w:rPr>
        <w:t>Verfasserin:</w:t>
      </w:r>
      <w:r>
        <w:t xml:space="preserve"> Katharina Pfeiffer, Senior Associate (Corporate)</w:t>
      </w:r>
    </w:p>
    <w:p>
      <w:pPr>
        <w:jc w:val="left"/>
      </w:pPr>
      <w:r>
        <w:rPr>
          <w:b/>
        </w:rPr>
        <w:t>Adressat:</w:t>
      </w:r>
      <w:r>
        <w:t xml:space="preserve"> Dr. Markus Weidemann / Seller Counsel Dr. Bäumler</w:t>
      </w:r>
    </w:p>
    <w:p>
      <w:pPr>
        <w:jc w:val="left"/>
      </w:pPr>
      <w:r>
        <w:rPr>
          <w:b/>
        </w:rPr>
        <w:t>Betreff:</w:t>
      </w:r>
      <w:r>
        <w:t xml:space="preserve"> Markierter NDA-Entwurf — Kommentare Eagle Capital Partners (ECP)</w:t>
      </w:r>
    </w:p>
    <w:p/>
    <w:p>
      <w:pPr>
        <w:pStyle w:val="Heading2"/>
      </w:pPr>
      <w:r>
        <w:rPr>
          <w:rFonts w:ascii="Times New Roman" w:hAnsi="Times New Roman"/>
        </w:rPr>
        <w:t>1. Überblick</w:t>
      </w:r>
    </w:p>
    <w:p>
      <w:pPr>
        <w:jc w:val="left"/>
      </w:pPr>
      <w:r>
        <w:t>Nachfolgend sind die wesentlichen Änderungen und Anmerkungen von Eagle Capital Partners (ECP / Käuferin) zum Entwurf der Vertraulichkeitsvereinbarung (NDA) des Finanzberaters (Meridian Corporate Finance GmbH, Stand 1. Oktober 2024) zusammengefasst. Die vollständigen redline-Änderungen sind im DOCX-Anhang enthalten.</w:t>
      </w:r>
    </w:p>
    <w:p/>
    <w:p>
      <w:pPr>
        <w:pStyle w:val="Heading2"/>
      </w:pPr>
      <w:r>
        <w:rPr>
          <w:rFonts w:ascii="Times New Roman" w:hAnsi="Times New Roman"/>
        </w:rPr>
        <w:t>2. Laufzeit der Vertraulichkeitspflicht</w:t>
      </w:r>
    </w:p>
    <w:p>
      <w:pPr>
        <w:jc w:val="left"/>
      </w:pPr>
      <w:r>
        <w:rPr>
          <w:b/>
        </w:rPr>
        <w:t>Seller-Position (Entwurf):</w:t>
      </w:r>
      <w:r>
        <w:t xml:space="preserve"> 24 Monate ab Unterzeichnung.</w:t>
      </w:r>
    </w:p>
    <w:p>
      <w:pPr>
        <w:jc w:val="left"/>
      </w:pPr>
      <w:r>
        <w:rPr>
          <w:b/>
        </w:rPr>
        <w:t>ECP-Forderung:</w:t>
      </w:r>
      <w:r>
        <w:t xml:space="preserve"> 36 Monate ab Unterzeichnung.</w:t>
      </w:r>
    </w:p>
    <w:p>
      <w:pPr>
        <w:jc w:val="left"/>
      </w:pPr>
      <w:r>
        <w:rPr>
          <w:b/>
        </w:rPr>
        <w:t>Begründung ECP:</w:t>
      </w:r>
      <w:r>
        <w:t xml:space="preserve"> Da es sich um einen Carve-out mit komplexer Konzernstruktur handelt, sind die übermittelten Informationen (insbesondere Kundenlisten, Margenstrukturen, IP-Details) für die Dauer des gesamten Investitionszeitraums eines PE-Fonds von marktstrategischer Bedeutung. 24 Monate sind bei einem typischen Halte-Zeitraum von 5 Jahren unzureichend.</w:t>
      </w:r>
    </w:p>
    <w:p>
      <w:pPr>
        <w:jc w:val="left"/>
      </w:pPr>
      <w:r>
        <w:rPr>
          <w:b/>
        </w:rPr>
        <w:t>Kanzlei-Einschätzung:</w:t>
      </w:r>
      <w:r>
        <w:t xml:space="preserve"> Aus Käufersicht vertretbar und marktüblich bei PE-Transaktionen mit umfangreichen Datenräumen. Kompromissposition: 30 Monate. Akzeptanzgrenze Seller: typischerweise 36 Monate nicht üblich, aber verhandelbar.</w:t>
      </w:r>
    </w:p>
    <w:p/>
    <w:p>
      <w:pPr>
        <w:pStyle w:val="Heading2"/>
      </w:pPr>
      <w:r>
        <w:rPr>
          <w:rFonts w:ascii="Times New Roman" w:hAnsi="Times New Roman"/>
        </w:rPr>
        <w:t>3. Permitted Recipients (Empfängerkreis)</w:t>
      </w:r>
    </w:p>
    <w:p>
      <w:pPr>
        <w:jc w:val="left"/>
      </w:pPr>
      <w:r>
        <w:rPr>
          <w:b/>
        </w:rPr>
        <w:t>Seller-Position (Entwurf):</w:t>
      </w:r>
      <w:r>
        <w:t xml:space="preserve"> Beschränkung auf direkte Mitarbeiter des Bieters und namentlich benannte externe Berater.</w:t>
      </w:r>
    </w:p>
    <w:p>
      <w:pPr>
        <w:jc w:val="left"/>
      </w:pPr>
      <w:r>
        <w:rPr>
          <w:b/>
        </w:rPr>
        <w:t>ECP-Forderung:</w:t>
      </w:r>
      <w:r>
        <w:t xml:space="preserve"> Erweiterung auf:</w:t>
      </w:r>
    </w:p>
    <w:p>
      <w:pPr>
        <w:pStyle w:val="ListBullet"/>
      </w:pPr>
      <w:r>
        <w:t>Alle durch ECP für diese Transaktion mandatierten Rechts-, Steuer- und Finanzberater (ohne namentliche Nennung, aber unter Verschwiegenheitspflicht des Bieters)</w:t>
      </w:r>
    </w:p>
    <w:p>
      <w:pPr>
        <w:pStyle w:val="ListBullet"/>
      </w:pPr>
      <w:r>
        <w:t>Co-Investoren und Dachfonds-Investoren, die im Rahmen des Commitmentprozesses zu informieren sind (unter eigenem NDA)</w:t>
      </w:r>
    </w:p>
    <w:p>
      <w:pPr>
        <w:pStyle w:val="ListBullet"/>
      </w:pPr>
      <w:r>
        <w:t>Kreditgeber, die für die Transaktionsfinanzierung zu informieren sind (unter eigenem NDA)</w:t>
      </w:r>
    </w:p>
    <w:p>
      <w:pPr>
        <w:jc w:val="left"/>
      </w:pPr>
      <w:r>
        <w:rPr>
          <w:b/>
        </w:rPr>
        <w:t>Begründung ECP:</w:t>
      </w:r>
      <w:r>
        <w:t xml:space="preserve"> Finanzierungsrunde erfordert Einbeziehung von 3–5 Banken; Co-Investoren-Struktur ist noch nicht finalisiert.</w:t>
      </w:r>
    </w:p>
    <w:p>
      <w:pPr>
        <w:jc w:val="left"/>
      </w:pPr>
      <w:r>
        <w:rPr>
          <w:b/>
        </w:rPr>
        <w:t>Kanzlei-Einschätzung:</w:t>
      </w:r>
      <w:r>
        <w:t xml:space="preserve"> ECP-Position ist weitgehend marktüblich. Empfehlung: Seller-NDA-Pflicht für nachgelagerte Empfänger statt namentlicher Nennung aufnehmen; Logging-Pflicht (wer hat wann Zugang erhalten) im NDA verankern.</w:t>
      </w:r>
    </w:p>
    <w:p/>
    <w:p>
      <w:pPr>
        <w:pStyle w:val="Heading2"/>
      </w:pPr>
      <w:r>
        <w:rPr>
          <w:rFonts w:ascii="Times New Roman" w:hAnsi="Times New Roman"/>
        </w:rPr>
        <w:t>4. Non-Solicitation-Klausel</w:t>
      </w:r>
    </w:p>
    <w:p>
      <w:pPr>
        <w:jc w:val="left"/>
      </w:pPr>
      <w:r>
        <w:rPr>
          <w:b/>
        </w:rPr>
        <w:t>Seller-Position (Entwurf):</w:t>
      </w:r>
      <w:r>
        <w:t xml:space="preserve"> 18 Monate Non-Solicitation für alle Mitarbeiter der Gesellschaft und ihrer Tochtergesellschaften; gilt für aktive Abwerbung und für die Annahme von Bewerbungen aus dem eigenen Interesse.</w:t>
      </w:r>
    </w:p>
    <w:p>
      <w:pPr>
        <w:jc w:val="left"/>
      </w:pPr>
      <w:r>
        <w:rPr>
          <w:b/>
        </w:rPr>
        <w:t>ECP-Forderung:</w:t>
      </w:r>
      <w:r>
        <w:t xml:space="preserve"> Streichung der Non-Solicitation-Klausel vollständig; hilfsweise Einschränkung auf Key Management (Vorstand, Bereichsleiter) und Laufzeit 12 Monate.</w:t>
      </w:r>
    </w:p>
    <w:p>
      <w:pPr>
        <w:jc w:val="left"/>
      </w:pPr>
      <w:r>
        <w:rPr>
          <w:b/>
        </w:rPr>
        <w:t>Begründung ECP:</w:t>
      </w:r>
      <w:r>
        <w:t xml:space="preserve"> Eine pauschale Non-Solicitation auf 920 Mitarbeiter ist zu weit und würde normale Personalmarktaktivitäten des Fonds blockieren (ECP betreibt weitere Portfolio-Unternehmen in derselben Branche). Allgemeine Stellenausschreibungen sollen ausgenommen sein.</w:t>
      </w:r>
    </w:p>
    <w:p>
      <w:pPr>
        <w:jc w:val="left"/>
      </w:pPr>
      <w:r>
        <w:rPr>
          <w:b/>
        </w:rPr>
        <w:t>Kanzlei-Einschätzung:</w:t>
      </w:r>
      <w:r>
        <w:t xml:space="preserve"> ECP-Position ist marktüblich. Gegenvorschlag: Non-Solicitation nur für Vorstand, CFO, Bereichsleiter und namentlich gelistete Key Employees (ca. 15–20 Personen); Carve-out für allgemeine Ausschreibungen; Laufzeit 12 Monate.</w:t>
      </w:r>
    </w:p>
    <w:p/>
    <w:p>
      <w:pPr>
        <w:pStyle w:val="Heading2"/>
      </w:pPr>
      <w:r>
        <w:rPr>
          <w:rFonts w:ascii="Times New Roman" w:hAnsi="Times New Roman"/>
        </w:rPr>
        <w:t>5. Rückgabe und Löschung von Unterlagen</w:t>
      </w:r>
    </w:p>
    <w:p>
      <w:pPr>
        <w:jc w:val="left"/>
      </w:pPr>
      <w:r>
        <w:rPr>
          <w:b/>
        </w:rPr>
        <w:t>Seller-Position (Entwurf):</w:t>
      </w:r>
      <w:r>
        <w:t xml:space="preserve"> Vollständige Rückgabe oder Löschung aller Unterlagen innerhalb von 10 Werktagen nach Beendigung des Prozesses oder Aufforderung.</w:t>
      </w:r>
    </w:p>
    <w:p>
      <w:pPr>
        <w:jc w:val="left"/>
      </w:pPr>
      <w:r>
        <w:rPr>
          <w:b/>
        </w:rPr>
        <w:t>ECP-Forderung:</w:t>
      </w:r>
      <w:r>
        <w:t xml:space="preserve"> Ausnahme für gesetzlich vorgeschriebene Aufbewahrungspflichten und regulatorische Compliance-Anforderungen (KWG, GwG, Compliance-Archivierungspflichten des Fonds). Frist verlängern auf 30 Tage.</w:t>
      </w:r>
    </w:p>
    <w:p>
      <w:pPr>
        <w:jc w:val="left"/>
      </w:pPr>
      <w:r>
        <w:rPr>
          <w:b/>
        </w:rPr>
        <w:t>Kanzlei-Einschätzung:</w:t>
      </w:r>
      <w:r>
        <w:t xml:space="preserve"> ECP-Position ist marktüblich und sachlich geboten. Einschränkung: Aufbewahrung nur für den gesetzlich zwingend erforderlichen Mindestumfang; keine "goldene Brücke" für allgemeine Archivierung zu kommerziellen Zwecken.</w:t>
      </w:r>
    </w:p>
    <w:p/>
    <w:p>
      <w:pPr>
        <w:pStyle w:val="Heading2"/>
      </w:pPr>
      <w:r>
        <w:rPr>
          <w:rFonts w:ascii="Times New Roman" w:hAnsi="Times New Roman"/>
        </w:rPr>
        <w:t>6. Haftung / Schadenersatz</w:t>
      </w:r>
    </w:p>
    <w:p>
      <w:pPr>
        <w:jc w:val="left"/>
      </w:pPr>
      <w:r>
        <w:rPr>
          <w:b/>
        </w:rPr>
        <w:t>Seller-Position (Entwurf):</w:t>
      </w:r>
      <w:r>
        <w:t xml:space="preserve"> Kein ausdrücklicher Haftungsausschluss; allgemeines Vertragsrecht gilt.</w:t>
      </w:r>
    </w:p>
    <w:p>
      <w:pPr>
        <w:jc w:val="left"/>
      </w:pPr>
      <w:r>
        <w:rPr>
          <w:b/>
        </w:rPr>
        <w:t>ECP-Forderung:</w:t>
      </w:r>
      <w:r>
        <w:t xml:space="preserve"> Klarstellung, dass für eine etwaige Verletzung der Vertraulichkeitspflicht nur grob fahrlässige oder vorsätzliche Verstöße haftungsauslösend sind; Haftungsbegrenzung auf EUR 5 Mio. für alle Ansprüche aus dem NDA.</w:t>
      </w:r>
    </w:p>
    <w:p>
      <w:pPr>
        <w:jc w:val="left"/>
      </w:pPr>
      <w:r>
        <w:rPr>
          <w:b/>
        </w:rPr>
        <w:t>Kanzlei-Einschätzung:</w:t>
      </w:r>
      <w:r>
        <w:t xml:space="preserve"> Käuferseitige Haftungsbegrenzung ist unüblich; Seller wird voraussichtlich ablehnen. Kompromissvorschlag: keine Haftungsbegrenzung, aber ausdrückliche Klarstellung, dass Schadensersatz nur bei tatsächlichem nachgewiesenen Schaden fällig wird (kein Strafschadenersatz). Seller behält Unterlassungsanspruch ohne Schadensnachweis.</w:t>
      </w:r>
    </w:p>
    <w:p/>
    <w:p>
      <w:pPr>
        <w:pStyle w:val="Heading2"/>
      </w:pPr>
      <w:r>
        <w:rPr>
          <w:rFonts w:ascii="Times New Roman" w:hAnsi="Times New Roman"/>
        </w:rPr>
        <w:t>7. Anwendbares Recht und Gerichtsstand</w:t>
      </w:r>
    </w:p>
    <w:p>
      <w:pPr>
        <w:jc w:val="left"/>
      </w:pPr>
      <w:r>
        <w:rPr>
          <w:b/>
        </w:rPr>
        <w:t>Seller-Position (Entwurf):</w:t>
      </w:r>
      <w:r>
        <w:t xml:space="preserve"> Deutsches Recht, LG München I.</w:t>
      </w:r>
    </w:p>
    <w:p>
      <w:pPr>
        <w:jc w:val="left"/>
      </w:pPr>
      <w:r>
        <w:rPr>
          <w:b/>
        </w:rPr>
        <w:t>ECP-Forderung:</w:t>
      </w:r>
      <w:r>
        <w:t xml:space="preserve"> Deutsches Recht, LG Frankfurt am Main (Sitz ECP).</w:t>
      </w:r>
    </w:p>
    <w:p>
      <w:pPr>
        <w:jc w:val="left"/>
      </w:pPr>
      <w:r>
        <w:rPr>
          <w:b/>
        </w:rPr>
        <w:t>Kanzlei-Einschätzung:</w:t>
      </w:r>
      <w:r>
        <w:t xml:space="preserve"> Frage des Gerichtsstands ist verhandelbar; kein materieller Unterschied. Empfehlung: Sitz der Gesellschaft (Augsburg → LG Augsburg) als neutralen Kompromiss anbieten.</w:t>
      </w:r>
    </w:p>
    <w:p/>
    <w:p>
      <w:pPr>
        <w:pStyle w:val="Heading2"/>
      </w:pPr>
      <w:r>
        <w:rPr>
          <w:rFonts w:ascii="Times New Roman" w:hAnsi="Times New Roman"/>
        </w:rPr>
        <w:t>8. Zusammenfassung Verhandlungspositionen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Klausel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Seller-Entwurf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ECP-Forderung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Kanzlei-Empfehlung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Laufzeit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36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 Monate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Permitted Recipients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Benannte Personen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Erweiterter Kreis (Berater, Co-Inv., Banken)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Erweiterter Kreis mit NDA-Kaskade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Non-Solicitation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MA, 18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/ nur Key Man, 12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Key Man-Liste, 12 Monate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Rückgabe-Frist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 Werktage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 Tage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 Werktage + gesetzl. Ausnahme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Haftungsbegrenzung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EUR 5 Mio. Cap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Cap, aber kein Strafschadenersatz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Gerichtsstand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München 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Frankfurt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Augsburg (neutral)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9. Nächste Schritte</w:t>
      </w:r>
    </w:p>
    <w:p>
      <w:pPr>
        <w:pStyle w:val="ListBullet"/>
      </w:pPr>
      <w:r>
        <w:t>[ ] Markierten Entwurf (DOCX) an Seller Counsel Dr. Bäumler übermitteln (bis 11. Oktober 2024)</w:t>
      </w:r>
    </w:p>
    <w:p>
      <w:pPr>
        <w:pStyle w:val="ListBullet"/>
      </w:pPr>
      <w:r>
        <w:t>[ ] Telefontermin mit Seller Counsel für NDA-Telefonat vereinbaren (Ziel: 15. Oktober 2024)</w:t>
      </w:r>
    </w:p>
    <w:p>
      <w:pPr>
        <w:pStyle w:val="ListBullet"/>
      </w:pPr>
      <w:r>
        <w:t>[ ] Nach Einigung: finales NDA unterzeichnen (Ziel: 17. Oktober 2024)</w:t>
      </w:r>
    </w:p>
    <w:p>
      <w:pPr>
        <w:pStyle w:val="ListBullet"/>
      </w:pPr>
      <w:r>
        <w:t>[ ] NDA im VDR unter 01_Corporate ablegen und Zugang Phase 1 für ECP freischalten</w:t>
      </w:r>
    </w:p>
    <w:p/>
    <w:p>
      <w:pPr>
        <w:jc w:val="left"/>
      </w:pPr>
      <w:r>
        <w:rPr>
          <w:b/>
        </w:rPr>
        <w:t>Anlagen:</w:t>
      </w:r>
    </w:p>
    <w:p>
      <w:pPr>
        <w:pStyle w:val="ListBullet"/>
      </w:pPr>
      <w:r>
        <w:t>Anlage 1: NDA-Entwurf Seller (Ausgangsfassung, 1. Oktober 2024) — [kanzleiintern]</w:t>
      </w:r>
    </w:p>
    <w:p>
      <w:pPr>
        <w:pStyle w:val="ListBullet"/>
      </w:pPr>
      <w:r>
        <w:t>Anlage 2: NDA-Markierung ECP (redline DOCX) — [03_teaser_processdocs/nda_markup_bidder.docx]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