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Clean Room Log — Projekt Silberfalke</w:t>
      </w:r>
    </w:p>
    <w:p>
      <w:pPr>
        <w:jc w:val="left"/>
      </w:pPr>
      <w:r>
        <w:rPr>
          <w:b/>
        </w:rPr>
        <w:t>Aktenzeichen:</w:t>
      </w:r>
      <w:r>
        <w:t xml:space="preserve"> MWK/2024/SIL-001</w:t>
      </w:r>
    </w:p>
    <w:p>
      <w:pPr>
        <w:jc w:val="left"/>
      </w:pPr>
      <w:r>
        <w:rPr>
          <w:b/>
        </w:rPr>
        <w:t>Dokument-Nr.:</w:t>
      </w:r>
      <w:r>
        <w:t xml:space="preserve"> CR-LOG-001/SIL</w:t>
      </w:r>
    </w:p>
    <w:p>
      <w:pPr>
        <w:jc w:val="left"/>
      </w:pPr>
      <w:r>
        <w:rPr>
          <w:b/>
        </w:rPr>
        <w:t>Version:</w:t>
      </w:r>
      <w:r>
        <w:t xml:space="preserve"> 1.2</w:t>
      </w:r>
    </w:p>
    <w:p>
      <w:pPr>
        <w:jc w:val="left"/>
      </w:pPr>
      <w:r>
        <w:rPr>
          <w:b/>
        </w:rPr>
        <w:t>Datum:</w:t>
      </w:r>
      <w:r>
        <w:t xml:space="preserve"> 25. November 2024</w:t>
      </w:r>
    </w:p>
    <w:p>
      <w:pPr>
        <w:jc w:val="left"/>
      </w:pPr>
      <w:r>
        <w:rPr>
          <w:b/>
        </w:rPr>
        <w:t>Verfasserin:</w:t>
      </w:r>
      <w:r>
        <w:t xml:space="preserve"> Sophie Maurer, Paralegal / Clean Room Manager</w:t>
      </w:r>
    </w:p>
    <w:p>
      <w:pPr>
        <w:jc w:val="left"/>
      </w:pPr>
      <w:r>
        <w:rPr>
          <w:b/>
        </w:rPr>
        <w:t>Adressat:</w:t>
      </w:r>
      <w:r>
        <w:t xml:space="preserve"> Dr. Markus Weidemann, Dr. Sabine Roth</w:t>
      </w:r>
    </w:p>
    <w:p/>
    <w:p>
      <w:pPr>
        <w:pStyle w:val="Heading2"/>
      </w:pPr>
      <w:r>
        <w:rPr>
          <w:rFonts w:ascii="Times New Roman" w:hAnsi="Times New Roman"/>
        </w:rPr>
        <w:t>1. Zweck des Clean Rooms</w:t>
      </w:r>
    </w:p>
    <w:p>
      <w:pPr>
        <w:jc w:val="left"/>
      </w:pPr>
      <w:r>
        <w:t>Der Clean Room dient der kontrollierten Offenlegung besonders sensibler Datenraum-Dokumente, die (a) regulatorisch sensibel sind (Exportkontrollakten, Dual-Use-Klassifizierungen) oder (b) wirtschaftlich hochsensibel sind (Kundenmargendaten, Transferpreisdokumentation) und bei einem Scheitern des Deals dem Wettbewerb schaden könnten. Zugang zum Clean Room erhalten ausschließlich externe Berater (keine Unternehmensvertreter des Käufers), die eine gesonderte Clean Room Agreement unterzeichnet haben.</w:t>
      </w:r>
    </w:p>
    <w:p/>
    <w:p>
      <w:pPr>
        <w:pStyle w:val="Heading2"/>
      </w:pPr>
      <w:r>
        <w:rPr>
          <w:rFonts w:ascii="Times New Roman" w:hAnsi="Times New Roman"/>
        </w:rPr>
        <w:t>2. Clean Room Agreement</w:t>
      </w:r>
    </w:p>
    <w:p>
      <w:pPr>
        <w:jc w:val="left"/>
      </w:pPr>
      <w:r>
        <w:rPr>
          <w:b/>
        </w:rPr>
        <w:t>Datum Unterzeichnung:</w:t>
      </w:r>
      <w:r>
        <w:t xml:space="preserve"> 22. November 2024</w:t>
      </w:r>
    </w:p>
    <w:p>
      <w:pPr>
        <w:jc w:val="left"/>
      </w:pPr>
      <w:r>
        <w:rPr>
          <w:b/>
        </w:rPr>
        <w:t>Unterzeichnende Parteien: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Partei</w:t>
            </w:r>
          </w:p>
        </w:tc>
        <w:tc>
          <w:tcPr>
            <w:tcW w:type="dxa" w:w="3024"/>
          </w:tcPr>
          <w:p>
            <w:r>
              <w:rPr>
                <w:rFonts w:ascii="Times New Roman" w:hAnsi="Times New Roman"/>
                <w:b/>
                <w:sz w:val="20"/>
              </w:rPr>
              <w:t>Unterzeichner</w:t>
            </w:r>
          </w:p>
        </w:tc>
        <w:tc>
          <w:tcPr>
            <w:tcW w:type="dxa" w:w="3024"/>
          </w:tcPr>
          <w:p>
            <w:r>
              <w:rPr>
                <w:rFonts w:ascii="Times New Roman" w:hAnsi="Times New Roman"/>
                <w:b/>
                <w:sz w:val="20"/>
              </w:rPr>
              <w:t>Datum</w:t>
            </w:r>
          </w:p>
        </w:tc>
      </w:tr>
      <w:tr>
        <w:tc>
          <w:tcPr>
            <w:tcW w:type="dxa" w:w="3024"/>
          </w:tcPr>
          <w:p>
            <w:r>
              <w:rPr>
                <w:rFonts w:ascii="Times New Roman" w:hAnsi="Times New Roman"/>
                <w:sz w:val="20"/>
              </w:rPr>
              <w:t>Verkäuferin</w:t>
            </w:r>
          </w:p>
        </w:tc>
        <w:tc>
          <w:tcPr>
            <w:tcW w:type="dxa" w:w="3024"/>
          </w:tcPr>
          <w:p>
            <w:r>
              <w:rPr>
                <w:rFonts w:ascii="Times New Roman" w:hAnsi="Times New Roman"/>
                <w:sz w:val="20"/>
              </w:rPr>
              <w:t>Rolf Dinkelbach (Meridian Corporate Finance)</w:t>
            </w:r>
          </w:p>
        </w:tc>
        <w:tc>
          <w:tcPr>
            <w:tcW w:type="dxa" w:w="3024"/>
          </w:tcPr>
          <w:p>
            <w:r>
              <w:rPr>
                <w:rFonts w:ascii="Times New Roman" w:hAnsi="Times New Roman"/>
                <w:sz w:val="20"/>
              </w:rPr>
              <w:t>22.11.2024</w:t>
            </w:r>
          </w:p>
        </w:tc>
      </w:tr>
      <w:tr>
        <w:tc>
          <w:tcPr>
            <w:tcW w:type="dxa" w:w="3024"/>
          </w:tcPr>
          <w:p>
            <w:r>
              <w:rPr>
                <w:rFonts w:ascii="Times New Roman" w:hAnsi="Times New Roman"/>
                <w:sz w:val="20"/>
              </w:rPr>
              <w:t>Buyer Legal Counsel</w:t>
            </w:r>
          </w:p>
        </w:tc>
        <w:tc>
          <w:tcPr>
            <w:tcW w:type="dxa" w:w="3024"/>
          </w:tcPr>
          <w:p>
            <w:r>
              <w:rPr>
                <w:rFonts w:ascii="Times New Roman" w:hAnsi="Times New Roman"/>
                <w:sz w:val="20"/>
              </w:rPr>
              <w:t>Dr. Markus Weidemann (MWK Rechtsanwälte)</w:t>
            </w:r>
          </w:p>
        </w:tc>
        <w:tc>
          <w:tcPr>
            <w:tcW w:type="dxa" w:w="3024"/>
          </w:tcPr>
          <w:p>
            <w:r>
              <w:rPr>
                <w:rFonts w:ascii="Times New Roman" w:hAnsi="Times New Roman"/>
                <w:sz w:val="20"/>
              </w:rPr>
              <w:t>22.11.2024</w:t>
            </w:r>
          </w:p>
        </w:tc>
      </w:tr>
      <w:tr>
        <w:tc>
          <w:tcPr>
            <w:tcW w:type="dxa" w:w="3024"/>
          </w:tcPr>
          <w:p>
            <w:r>
              <w:rPr>
                <w:rFonts w:ascii="Times New Roman" w:hAnsi="Times New Roman"/>
                <w:sz w:val="20"/>
              </w:rPr>
              <w:t>Buyer Tax Counsel</w:t>
            </w:r>
          </w:p>
        </w:tc>
        <w:tc>
          <w:tcPr>
            <w:tcW w:type="dxa" w:w="3024"/>
          </w:tcPr>
          <w:p>
            <w:r>
              <w:rPr>
                <w:rFonts w:ascii="Times New Roman" w:hAnsi="Times New Roman"/>
                <w:sz w:val="20"/>
              </w:rPr>
              <w:t>Dr. Sabine Roth (MWK Rechtsanwälte)</w:t>
            </w:r>
          </w:p>
        </w:tc>
        <w:tc>
          <w:tcPr>
            <w:tcW w:type="dxa" w:w="3024"/>
          </w:tcPr>
          <w:p>
            <w:r>
              <w:rPr>
                <w:rFonts w:ascii="Times New Roman" w:hAnsi="Times New Roman"/>
                <w:sz w:val="20"/>
              </w:rPr>
              <w:t>22.11.2024</w:t>
            </w:r>
          </w:p>
        </w:tc>
      </w:tr>
      <w:tr>
        <w:tc>
          <w:tcPr>
            <w:tcW w:type="dxa" w:w="3024"/>
          </w:tcPr>
          <w:p>
            <w:r>
              <w:rPr>
                <w:rFonts w:ascii="Times New Roman" w:hAnsi="Times New Roman"/>
                <w:sz w:val="20"/>
              </w:rPr>
              <w:t>Buyer Regulatory</w:t>
            </w:r>
          </w:p>
        </w:tc>
        <w:tc>
          <w:tcPr>
            <w:tcW w:type="dxa" w:w="3024"/>
          </w:tcPr>
          <w:p>
            <w:r>
              <w:rPr>
                <w:rFonts w:ascii="Times New Roman" w:hAnsi="Times New Roman"/>
                <w:sz w:val="20"/>
              </w:rPr>
              <w:t>Dr. Hans-Peter Fuchs (MWK Rechtsanwälte)</w:t>
            </w:r>
          </w:p>
        </w:tc>
        <w:tc>
          <w:tcPr>
            <w:tcW w:type="dxa" w:w="3024"/>
          </w:tcPr>
          <w:p>
            <w:r>
              <w:rPr>
                <w:rFonts w:ascii="Times New Roman" w:hAnsi="Times New Roman"/>
                <w:sz w:val="20"/>
              </w:rPr>
              <w:t>22.11.2024</w:t>
            </w:r>
          </w:p>
        </w:tc>
      </w:tr>
    </w:tbl>
    <w:p>
      <w:pPr>
        <w:jc w:val="left"/>
      </w:pPr>
      <w:r>
        <w:rPr>
          <w:b/>
        </w:rPr>
        <w:t>Clean Room-Berater auf Buy-side (gesamt):</w:t>
      </w:r>
      <w:r>
        <w:t xml:space="preserve"> 4 Personen</w:t>
      </w:r>
    </w:p>
    <w:p>
      <w:pPr>
        <w:jc w:val="left"/>
      </w:pPr>
      <w:r>
        <w:rPr>
          <w:b/>
        </w:rPr>
        <w:t>Clean Room-Berater auf Sell-side (gesamt):</w:t>
      </w:r>
      <w:r>
        <w:t xml:space="preserve"> 2 Personen (Seller Counsel Dr. Bäumler + Assistent)</w:t>
      </w:r>
    </w:p>
    <w:p>
      <w:pPr>
        <w:jc w:val="left"/>
      </w:pPr>
      <w:r>
        <w:rPr>
          <w:b/>
        </w:rPr>
        <w:t>Wesentliche Regeln der Clean Room Agreement:</w:t>
      </w:r>
    </w:p>
    <w:p>
      <w:pPr>
        <w:pStyle w:val="ListBullet"/>
      </w:pPr>
      <w:r>
        <w:t>Keine Weitergabe von Clean Room-Inhalten an Mitarbeiter oder Vertreter von Eagle Capital Partners</w:t>
      </w:r>
    </w:p>
    <w:p>
      <w:pPr>
        <w:pStyle w:val="ListBullet"/>
      </w:pPr>
      <w:r>
        <w:t>Keine schriftlichen Zusammenfassungen, die einzelne Kunden oder Margen identifizierbar machen</w:t>
      </w:r>
    </w:p>
    <w:p>
      <w:pPr>
        <w:pStyle w:val="ListBullet"/>
      </w:pPr>
      <w:r>
        <w:t>Zusammenfassungen aus dem Clean Room bedürfen der vorherigen Genehmigung durch Seller</w:t>
      </w:r>
    </w:p>
    <w:p>
      <w:pPr>
        <w:pStyle w:val="ListBullet"/>
      </w:pPr>
      <w:r>
        <w:t>Löschpflicht bei Abbruch des Prozesses innerhalb von 5 Werktagen</w:t>
      </w:r>
    </w:p>
    <w:p/>
    <w:p>
      <w:pPr>
        <w:pStyle w:val="Heading2"/>
      </w:pPr>
      <w:r>
        <w:rPr>
          <w:rFonts w:ascii="Times New Roman" w:hAnsi="Times New Roman"/>
        </w:rPr>
        <w:t>3. Zugelassene Dokumente (Clean Room-Index)</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CR-ID</w:t>
            </w:r>
          </w:p>
        </w:tc>
        <w:tc>
          <w:tcPr>
            <w:tcW w:type="dxa" w:w="1814"/>
          </w:tcPr>
          <w:p>
            <w:r>
              <w:rPr>
                <w:rFonts w:ascii="Times New Roman" w:hAnsi="Times New Roman"/>
                <w:b/>
                <w:sz w:val="20"/>
              </w:rPr>
              <w:t>Dokumenttitel</w:t>
            </w:r>
          </w:p>
        </w:tc>
        <w:tc>
          <w:tcPr>
            <w:tcW w:type="dxa" w:w="1814"/>
          </w:tcPr>
          <w:p>
            <w:r>
              <w:rPr>
                <w:rFonts w:ascii="Times New Roman" w:hAnsi="Times New Roman"/>
                <w:b/>
                <w:sz w:val="20"/>
              </w:rPr>
              <w:t>Kategorie</w:t>
            </w:r>
          </w:p>
        </w:tc>
        <w:tc>
          <w:tcPr>
            <w:tcW w:type="dxa" w:w="1814"/>
          </w:tcPr>
          <w:p>
            <w:r>
              <w:rPr>
                <w:rFonts w:ascii="Times New Roman" w:hAnsi="Times New Roman"/>
                <w:b/>
                <w:sz w:val="20"/>
              </w:rPr>
              <w:t>Eingestellt am</w:t>
            </w:r>
          </w:p>
        </w:tc>
        <w:tc>
          <w:tcPr>
            <w:tcW w:type="dxa" w:w="1814"/>
          </w:tcPr>
          <w:p>
            <w:r>
              <w:rPr>
                <w:rFonts w:ascii="Times New Roman" w:hAnsi="Times New Roman"/>
                <w:b/>
                <w:sz w:val="20"/>
              </w:rPr>
              <w:t>Status</w:t>
            </w:r>
          </w:p>
        </w:tc>
      </w:tr>
      <w:tr>
        <w:tc>
          <w:tcPr>
            <w:tcW w:type="dxa" w:w="1814"/>
          </w:tcPr>
          <w:p>
            <w:r>
              <w:rPr>
                <w:rFonts w:ascii="Times New Roman" w:hAnsi="Times New Roman"/>
                <w:sz w:val="20"/>
              </w:rPr>
              <w:t>CR-001</w:t>
            </w:r>
          </w:p>
        </w:tc>
        <w:tc>
          <w:tcPr>
            <w:tcW w:type="dxa" w:w="1814"/>
          </w:tcPr>
          <w:p>
            <w:r>
              <w:rPr>
                <w:rFonts w:ascii="Times New Roman" w:hAnsi="Times New Roman"/>
                <w:sz w:val="20"/>
              </w:rPr>
              <w:t>Exportkontrollklassifizierung PDS-500 Serie (Dual-Use Anhang IV)</w:t>
            </w:r>
          </w:p>
        </w:tc>
        <w:tc>
          <w:tcPr>
            <w:tcW w:type="dxa" w:w="1814"/>
          </w:tcPr>
          <w:p>
            <w:r>
              <w:rPr>
                <w:rFonts w:ascii="Times New Roman" w:hAnsi="Times New Roman"/>
                <w:sz w:val="20"/>
              </w:rPr>
              <w:t>Regulatorisch</w:t>
            </w:r>
          </w:p>
        </w:tc>
        <w:tc>
          <w:tcPr>
            <w:tcW w:type="dxa" w:w="1814"/>
          </w:tcPr>
          <w:p>
            <w:r>
              <w:rPr>
                <w:rFonts w:ascii="Times New Roman" w:hAnsi="Times New Roman"/>
                <w:sz w:val="20"/>
              </w:rPr>
              <w:t>25.11.2024</w:t>
            </w:r>
          </w:p>
        </w:tc>
        <w:tc>
          <w:tcPr>
            <w:tcW w:type="dxa" w:w="1814"/>
          </w:tcPr>
          <w:p>
            <w:r>
              <w:rPr>
                <w:rFonts w:ascii="Times New Roman" w:hAnsi="Times New Roman"/>
                <w:sz w:val="20"/>
              </w:rPr>
              <w:t>Freigegeben</w:t>
            </w:r>
          </w:p>
        </w:tc>
      </w:tr>
      <w:tr>
        <w:tc>
          <w:tcPr>
            <w:tcW w:type="dxa" w:w="1814"/>
          </w:tcPr>
          <w:p>
            <w:r>
              <w:rPr>
                <w:rFonts w:ascii="Times New Roman" w:hAnsi="Times New Roman"/>
                <w:sz w:val="20"/>
              </w:rPr>
              <w:t>CR-002</w:t>
            </w:r>
          </w:p>
        </w:tc>
        <w:tc>
          <w:tcPr>
            <w:tcW w:type="dxa" w:w="1814"/>
          </w:tcPr>
          <w:p>
            <w:r>
              <w:rPr>
                <w:rFonts w:ascii="Times New Roman" w:hAnsi="Times New Roman"/>
                <w:sz w:val="20"/>
              </w:rPr>
              <w:t>BAFA-Voranfrage Exportgenehmigung 2023</w:t>
            </w:r>
          </w:p>
        </w:tc>
        <w:tc>
          <w:tcPr>
            <w:tcW w:type="dxa" w:w="1814"/>
          </w:tcPr>
          <w:p>
            <w:r>
              <w:rPr>
                <w:rFonts w:ascii="Times New Roman" w:hAnsi="Times New Roman"/>
                <w:sz w:val="20"/>
              </w:rPr>
              <w:t>Regulatorisch</w:t>
            </w:r>
          </w:p>
        </w:tc>
        <w:tc>
          <w:tcPr>
            <w:tcW w:type="dxa" w:w="1814"/>
          </w:tcPr>
          <w:p>
            <w:r>
              <w:rPr>
                <w:rFonts w:ascii="Times New Roman" w:hAnsi="Times New Roman"/>
                <w:sz w:val="20"/>
              </w:rPr>
              <w:t>25.11.2024</w:t>
            </w:r>
          </w:p>
        </w:tc>
        <w:tc>
          <w:tcPr>
            <w:tcW w:type="dxa" w:w="1814"/>
          </w:tcPr>
          <w:p>
            <w:r>
              <w:rPr>
                <w:rFonts w:ascii="Times New Roman" w:hAnsi="Times New Roman"/>
                <w:sz w:val="20"/>
              </w:rPr>
              <w:t>Freigegeben</w:t>
            </w:r>
          </w:p>
        </w:tc>
      </w:tr>
      <w:tr>
        <w:tc>
          <w:tcPr>
            <w:tcW w:type="dxa" w:w="1814"/>
          </w:tcPr>
          <w:p>
            <w:r>
              <w:rPr>
                <w:rFonts w:ascii="Times New Roman" w:hAnsi="Times New Roman"/>
                <w:sz w:val="20"/>
              </w:rPr>
              <w:t>CR-003</w:t>
            </w:r>
          </w:p>
        </w:tc>
        <w:tc>
          <w:tcPr>
            <w:tcW w:type="dxa" w:w="1814"/>
          </w:tcPr>
          <w:p>
            <w:r>
              <w:rPr>
                <w:rFonts w:ascii="Times New Roman" w:hAnsi="Times New Roman"/>
                <w:sz w:val="20"/>
              </w:rPr>
              <w:t>Kundenmargenliste Top-20 (anonymisiert je Kundenkategorie A/B/C)</w:t>
            </w:r>
          </w:p>
        </w:tc>
        <w:tc>
          <w:tcPr>
            <w:tcW w:type="dxa" w:w="1814"/>
          </w:tcPr>
          <w:p>
            <w:r>
              <w:rPr>
                <w:rFonts w:ascii="Times New Roman" w:hAnsi="Times New Roman"/>
                <w:sz w:val="20"/>
              </w:rPr>
              <w:t>Kommerziell</w:t>
            </w:r>
          </w:p>
        </w:tc>
        <w:tc>
          <w:tcPr>
            <w:tcW w:type="dxa" w:w="1814"/>
          </w:tcPr>
          <w:p>
            <w:r>
              <w:rPr>
                <w:rFonts w:ascii="Times New Roman" w:hAnsi="Times New Roman"/>
                <w:sz w:val="20"/>
              </w:rPr>
              <w:t>25.11.2024</w:t>
            </w:r>
          </w:p>
        </w:tc>
        <w:tc>
          <w:tcPr>
            <w:tcW w:type="dxa" w:w="1814"/>
          </w:tcPr>
          <w:p>
            <w:r>
              <w:rPr>
                <w:rFonts w:ascii="Times New Roman" w:hAnsi="Times New Roman"/>
                <w:sz w:val="20"/>
              </w:rPr>
              <w:t>Freigegeben</w:t>
            </w:r>
          </w:p>
        </w:tc>
      </w:tr>
      <w:tr>
        <w:tc>
          <w:tcPr>
            <w:tcW w:type="dxa" w:w="1814"/>
          </w:tcPr>
          <w:p>
            <w:r>
              <w:rPr>
                <w:rFonts w:ascii="Times New Roman" w:hAnsi="Times New Roman"/>
                <w:sz w:val="20"/>
              </w:rPr>
              <w:t>CR-004</w:t>
            </w:r>
          </w:p>
        </w:tc>
        <w:tc>
          <w:tcPr>
            <w:tcW w:type="dxa" w:w="1814"/>
          </w:tcPr>
          <w:p>
            <w:r>
              <w:rPr>
                <w:rFonts w:ascii="Times New Roman" w:hAnsi="Times New Roman"/>
                <w:sz w:val="20"/>
              </w:rPr>
              <w:t>Transferpreisdokumentation 2022–2024 (Masterdatei + CbCR)</w:t>
            </w:r>
          </w:p>
        </w:tc>
        <w:tc>
          <w:tcPr>
            <w:tcW w:type="dxa" w:w="1814"/>
          </w:tcPr>
          <w:p>
            <w:r>
              <w:rPr>
                <w:rFonts w:ascii="Times New Roman" w:hAnsi="Times New Roman"/>
                <w:sz w:val="20"/>
              </w:rPr>
              <w:t>Steuerlich</w:t>
            </w:r>
          </w:p>
        </w:tc>
        <w:tc>
          <w:tcPr>
            <w:tcW w:type="dxa" w:w="1814"/>
          </w:tcPr>
          <w:p>
            <w:r>
              <w:rPr>
                <w:rFonts w:ascii="Times New Roman" w:hAnsi="Times New Roman"/>
                <w:sz w:val="20"/>
              </w:rPr>
              <w:t>26.11.2024</w:t>
            </w:r>
          </w:p>
        </w:tc>
        <w:tc>
          <w:tcPr>
            <w:tcW w:type="dxa" w:w="1814"/>
          </w:tcPr>
          <w:p>
            <w:r>
              <w:rPr>
                <w:rFonts w:ascii="Times New Roman" w:hAnsi="Times New Roman"/>
                <w:sz w:val="20"/>
              </w:rPr>
              <w:t>Freigegeben</w:t>
            </w:r>
          </w:p>
        </w:tc>
      </w:tr>
      <w:tr>
        <w:tc>
          <w:tcPr>
            <w:tcW w:type="dxa" w:w="1814"/>
          </w:tcPr>
          <w:p>
            <w:r>
              <w:rPr>
                <w:rFonts w:ascii="Times New Roman" w:hAnsi="Times New Roman"/>
                <w:sz w:val="20"/>
              </w:rPr>
              <w:t>CR-005</w:t>
            </w:r>
          </w:p>
        </w:tc>
        <w:tc>
          <w:tcPr>
            <w:tcW w:type="dxa" w:w="1814"/>
          </w:tcPr>
          <w:p>
            <w:r>
              <w:rPr>
                <w:rFonts w:ascii="Times New Roman" w:hAnsi="Times New Roman"/>
                <w:sz w:val="20"/>
              </w:rPr>
              <w:t>Detaillierter Umsatzplan je Kunde (inkl. Jahresrabatte)</w:t>
            </w:r>
          </w:p>
        </w:tc>
        <w:tc>
          <w:tcPr>
            <w:tcW w:type="dxa" w:w="1814"/>
          </w:tcPr>
          <w:p>
            <w:r>
              <w:rPr>
                <w:rFonts w:ascii="Times New Roman" w:hAnsi="Times New Roman"/>
                <w:sz w:val="20"/>
              </w:rPr>
              <w:t>Kommerziell</w:t>
            </w:r>
          </w:p>
        </w:tc>
        <w:tc>
          <w:tcPr>
            <w:tcW w:type="dxa" w:w="1814"/>
          </w:tcPr>
          <w:p>
            <w:r>
              <w:rPr>
                <w:rFonts w:ascii="Times New Roman" w:hAnsi="Times New Roman"/>
                <w:sz w:val="20"/>
              </w:rPr>
              <w:t>26.11.2024</w:t>
            </w:r>
          </w:p>
        </w:tc>
        <w:tc>
          <w:tcPr>
            <w:tcW w:type="dxa" w:w="1814"/>
          </w:tcPr>
          <w:p>
            <w:r>
              <w:rPr>
                <w:rFonts w:ascii="Times New Roman" w:hAnsi="Times New Roman"/>
                <w:sz w:val="20"/>
              </w:rPr>
              <w:t>Ausstehend (Seller-Freigabe noch offen)</w:t>
            </w:r>
          </w:p>
        </w:tc>
      </w:tr>
      <w:tr>
        <w:tc>
          <w:tcPr>
            <w:tcW w:type="dxa" w:w="1814"/>
          </w:tcPr>
          <w:p>
            <w:r>
              <w:rPr>
                <w:rFonts w:ascii="Times New Roman" w:hAnsi="Times New Roman"/>
                <w:sz w:val="20"/>
              </w:rPr>
              <w:t>CR-006</w:t>
            </w:r>
          </w:p>
        </w:tc>
        <w:tc>
          <w:tcPr>
            <w:tcW w:type="dxa" w:w="1814"/>
          </w:tcPr>
          <w:p>
            <w:r>
              <w:rPr>
                <w:rFonts w:ascii="Times New Roman" w:hAnsi="Times New Roman"/>
                <w:sz w:val="20"/>
              </w:rPr>
              <w:t>Gutachten BAFA Dual-Use-Einstufung 2024</w:t>
            </w:r>
          </w:p>
        </w:tc>
        <w:tc>
          <w:tcPr>
            <w:tcW w:type="dxa" w:w="1814"/>
          </w:tcPr>
          <w:p>
            <w:r>
              <w:rPr>
                <w:rFonts w:ascii="Times New Roman" w:hAnsi="Times New Roman"/>
                <w:sz w:val="20"/>
              </w:rPr>
              <w:t>Regulatorisch</w:t>
            </w:r>
          </w:p>
        </w:tc>
        <w:tc>
          <w:tcPr>
            <w:tcW w:type="dxa" w:w="1814"/>
          </w:tcPr>
          <w:p>
            <w:r>
              <w:rPr>
                <w:rFonts w:ascii="Times New Roman" w:hAnsi="Times New Roman"/>
                <w:sz w:val="20"/>
              </w:rPr>
              <w:t>27.11.2024</w:t>
            </w:r>
          </w:p>
        </w:tc>
        <w:tc>
          <w:tcPr>
            <w:tcW w:type="dxa" w:w="1814"/>
          </w:tcPr>
          <w:p>
            <w:r>
              <w:rPr>
                <w:rFonts w:ascii="Times New Roman" w:hAnsi="Times New Roman"/>
                <w:sz w:val="20"/>
              </w:rPr>
              <w:t>Freigegeben</w:t>
            </w:r>
          </w:p>
        </w:tc>
      </w:tr>
    </w:tbl>
    <w:p/>
    <w:p>
      <w:pPr>
        <w:pStyle w:val="Heading2"/>
      </w:pPr>
      <w:r>
        <w:rPr>
          <w:rFonts w:ascii="Times New Roman" w:hAnsi="Times New Roman"/>
        </w:rPr>
        <w:t>4. Zugriffsprotokoll</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sz w:val="20"/>
              </w:rPr>
              <w:t>Datum</w:t>
            </w:r>
          </w:p>
        </w:tc>
        <w:tc>
          <w:tcPr>
            <w:tcW w:type="dxa" w:w="1512"/>
          </w:tcPr>
          <w:p>
            <w:r>
              <w:rPr>
                <w:rFonts w:ascii="Times New Roman" w:hAnsi="Times New Roman"/>
                <w:b/>
                <w:sz w:val="20"/>
              </w:rPr>
              <w:t>Uhrzeit</w:t>
            </w:r>
          </w:p>
        </w:tc>
        <w:tc>
          <w:tcPr>
            <w:tcW w:type="dxa" w:w="1512"/>
          </w:tcPr>
          <w:p>
            <w:r>
              <w:rPr>
                <w:rFonts w:ascii="Times New Roman" w:hAnsi="Times New Roman"/>
                <w:b/>
                <w:sz w:val="20"/>
              </w:rPr>
              <w:t>Benutzer</w:t>
            </w:r>
          </w:p>
        </w:tc>
        <w:tc>
          <w:tcPr>
            <w:tcW w:type="dxa" w:w="1512"/>
          </w:tcPr>
          <w:p>
            <w:r>
              <w:rPr>
                <w:rFonts w:ascii="Times New Roman" w:hAnsi="Times New Roman"/>
                <w:b/>
                <w:sz w:val="20"/>
              </w:rPr>
              <w:t>Dokument-ID</w:t>
            </w:r>
          </w:p>
        </w:tc>
        <w:tc>
          <w:tcPr>
            <w:tcW w:type="dxa" w:w="1512"/>
          </w:tcPr>
          <w:p>
            <w:r>
              <w:rPr>
                <w:rFonts w:ascii="Times New Roman" w:hAnsi="Times New Roman"/>
                <w:b/>
                <w:sz w:val="20"/>
              </w:rPr>
              <w:t>Aktion</w:t>
            </w:r>
          </w:p>
        </w:tc>
        <w:tc>
          <w:tcPr>
            <w:tcW w:type="dxa" w:w="1512"/>
          </w:tcPr>
          <w:p>
            <w:r>
              <w:rPr>
                <w:rFonts w:ascii="Times New Roman" w:hAnsi="Times New Roman"/>
                <w:b/>
                <w:sz w:val="20"/>
              </w:rPr>
              <w:t>IP-Adresse</w:t>
            </w:r>
          </w:p>
        </w:tc>
      </w:tr>
      <w:tr>
        <w:tc>
          <w:tcPr>
            <w:tcW w:type="dxa" w:w="1512"/>
          </w:tcPr>
          <w:p>
            <w:r>
              <w:rPr>
                <w:rFonts w:ascii="Times New Roman" w:hAnsi="Times New Roman"/>
                <w:sz w:val="20"/>
              </w:rPr>
              <w:t>25.11.2024</w:t>
            </w:r>
          </w:p>
        </w:tc>
        <w:tc>
          <w:tcPr>
            <w:tcW w:type="dxa" w:w="1512"/>
          </w:tcPr>
          <w:p>
            <w:r>
              <w:rPr>
                <w:rFonts w:ascii="Times New Roman" w:hAnsi="Times New Roman"/>
                <w:sz w:val="20"/>
              </w:rPr>
              <w:t>09:12</w:t>
            </w:r>
          </w:p>
        </w:tc>
        <w:tc>
          <w:tcPr>
            <w:tcW w:type="dxa" w:w="1512"/>
          </w:tcPr>
          <w:p>
            <w:r>
              <w:rPr>
                <w:rFonts w:ascii="Times New Roman" w:hAnsi="Times New Roman"/>
                <w:sz w:val="20"/>
              </w:rPr>
              <w:t>dr.weidemann@mwk.de</w:t>
            </w:r>
          </w:p>
        </w:tc>
        <w:tc>
          <w:tcPr>
            <w:tcW w:type="dxa" w:w="1512"/>
          </w:tcPr>
          <w:p>
            <w:r>
              <w:rPr>
                <w:rFonts w:ascii="Times New Roman" w:hAnsi="Times New Roman"/>
                <w:sz w:val="20"/>
              </w:rPr>
              <w:t>CR-001</w:t>
            </w:r>
          </w:p>
        </w:tc>
        <w:tc>
          <w:tcPr>
            <w:tcW w:type="dxa" w:w="1512"/>
          </w:tcPr>
          <w:p>
            <w:r>
              <w:rPr>
                <w:rFonts w:ascii="Times New Roman" w:hAnsi="Times New Roman"/>
                <w:sz w:val="20"/>
              </w:rPr>
              <w:t>Download</w:t>
            </w:r>
          </w:p>
        </w:tc>
        <w:tc>
          <w:tcPr>
            <w:tcW w:type="dxa" w:w="1512"/>
          </w:tcPr>
          <w:p>
            <w:r>
              <w:rPr>
                <w:rFonts w:ascii="Times New Roman" w:hAnsi="Times New Roman"/>
                <w:sz w:val="20"/>
              </w:rPr>
              <w:t>185.x.x.10</w:t>
            </w:r>
          </w:p>
        </w:tc>
      </w:tr>
      <w:tr>
        <w:tc>
          <w:tcPr>
            <w:tcW w:type="dxa" w:w="1512"/>
          </w:tcPr>
          <w:p>
            <w:r>
              <w:rPr>
                <w:rFonts w:ascii="Times New Roman" w:hAnsi="Times New Roman"/>
                <w:sz w:val="20"/>
              </w:rPr>
              <w:t>25.11.2024</w:t>
            </w:r>
          </w:p>
        </w:tc>
        <w:tc>
          <w:tcPr>
            <w:tcW w:type="dxa" w:w="1512"/>
          </w:tcPr>
          <w:p>
            <w:r>
              <w:rPr>
                <w:rFonts w:ascii="Times New Roman" w:hAnsi="Times New Roman"/>
                <w:sz w:val="20"/>
              </w:rPr>
              <w:t>09:14</w:t>
            </w:r>
          </w:p>
        </w:tc>
        <w:tc>
          <w:tcPr>
            <w:tcW w:type="dxa" w:w="1512"/>
          </w:tcPr>
          <w:p>
            <w:r>
              <w:rPr>
                <w:rFonts w:ascii="Times New Roman" w:hAnsi="Times New Roman"/>
                <w:sz w:val="20"/>
              </w:rPr>
              <w:t>dr.fuchs@mwk.de</w:t>
            </w:r>
          </w:p>
        </w:tc>
        <w:tc>
          <w:tcPr>
            <w:tcW w:type="dxa" w:w="1512"/>
          </w:tcPr>
          <w:p>
            <w:r>
              <w:rPr>
                <w:rFonts w:ascii="Times New Roman" w:hAnsi="Times New Roman"/>
                <w:sz w:val="20"/>
              </w:rPr>
              <w:t>CR-001</w:t>
            </w:r>
          </w:p>
        </w:tc>
        <w:tc>
          <w:tcPr>
            <w:tcW w:type="dxa" w:w="1512"/>
          </w:tcPr>
          <w:p>
            <w:r>
              <w:rPr>
                <w:rFonts w:ascii="Times New Roman" w:hAnsi="Times New Roman"/>
                <w:sz w:val="20"/>
              </w:rPr>
              <w:t>View</w:t>
            </w:r>
          </w:p>
        </w:tc>
        <w:tc>
          <w:tcPr>
            <w:tcW w:type="dxa" w:w="1512"/>
          </w:tcPr>
          <w:p>
            <w:r>
              <w:rPr>
                <w:rFonts w:ascii="Times New Roman" w:hAnsi="Times New Roman"/>
                <w:sz w:val="20"/>
              </w:rPr>
              <w:t>185.x.x.10</w:t>
            </w:r>
          </w:p>
        </w:tc>
      </w:tr>
      <w:tr>
        <w:tc>
          <w:tcPr>
            <w:tcW w:type="dxa" w:w="1512"/>
          </w:tcPr>
          <w:p>
            <w:r>
              <w:rPr>
                <w:rFonts w:ascii="Times New Roman" w:hAnsi="Times New Roman"/>
                <w:sz w:val="20"/>
              </w:rPr>
              <w:t>25.11.2024</w:t>
            </w:r>
          </w:p>
        </w:tc>
        <w:tc>
          <w:tcPr>
            <w:tcW w:type="dxa" w:w="1512"/>
          </w:tcPr>
          <w:p>
            <w:r>
              <w:rPr>
                <w:rFonts w:ascii="Times New Roman" w:hAnsi="Times New Roman"/>
                <w:sz w:val="20"/>
              </w:rPr>
              <w:t>11:03</w:t>
            </w:r>
          </w:p>
        </w:tc>
        <w:tc>
          <w:tcPr>
            <w:tcW w:type="dxa" w:w="1512"/>
          </w:tcPr>
          <w:p>
            <w:r>
              <w:rPr>
                <w:rFonts w:ascii="Times New Roman" w:hAnsi="Times New Roman"/>
                <w:sz w:val="20"/>
              </w:rPr>
              <w:t>dr.roth@mwk.de</w:t>
            </w:r>
          </w:p>
        </w:tc>
        <w:tc>
          <w:tcPr>
            <w:tcW w:type="dxa" w:w="1512"/>
          </w:tcPr>
          <w:p>
            <w:r>
              <w:rPr>
                <w:rFonts w:ascii="Times New Roman" w:hAnsi="Times New Roman"/>
                <w:sz w:val="20"/>
              </w:rPr>
              <w:t>CR-004</w:t>
            </w:r>
          </w:p>
        </w:tc>
        <w:tc>
          <w:tcPr>
            <w:tcW w:type="dxa" w:w="1512"/>
          </w:tcPr>
          <w:p>
            <w:r>
              <w:rPr>
                <w:rFonts w:ascii="Times New Roman" w:hAnsi="Times New Roman"/>
                <w:sz w:val="20"/>
              </w:rPr>
              <w:t>Download</w:t>
            </w:r>
          </w:p>
        </w:tc>
        <w:tc>
          <w:tcPr>
            <w:tcW w:type="dxa" w:w="1512"/>
          </w:tcPr>
          <w:p>
            <w:r>
              <w:rPr>
                <w:rFonts w:ascii="Times New Roman" w:hAnsi="Times New Roman"/>
                <w:sz w:val="20"/>
              </w:rPr>
              <w:t>185.x.x.11</w:t>
            </w:r>
          </w:p>
        </w:tc>
      </w:tr>
      <w:tr>
        <w:tc>
          <w:tcPr>
            <w:tcW w:type="dxa" w:w="1512"/>
          </w:tcPr>
          <w:p>
            <w:r>
              <w:rPr>
                <w:rFonts w:ascii="Times New Roman" w:hAnsi="Times New Roman"/>
                <w:sz w:val="20"/>
              </w:rPr>
              <w:t>25.11.2024</w:t>
            </w:r>
          </w:p>
        </w:tc>
        <w:tc>
          <w:tcPr>
            <w:tcW w:type="dxa" w:w="1512"/>
          </w:tcPr>
          <w:p>
            <w:r>
              <w:rPr>
                <w:rFonts w:ascii="Times New Roman" w:hAnsi="Times New Roman"/>
                <w:sz w:val="20"/>
              </w:rPr>
              <w:t>11:48</w:t>
            </w:r>
          </w:p>
        </w:tc>
        <w:tc>
          <w:tcPr>
            <w:tcW w:type="dxa" w:w="1512"/>
          </w:tcPr>
          <w:p>
            <w:r>
              <w:rPr>
                <w:rFonts w:ascii="Times New Roman" w:hAnsi="Times New Roman"/>
                <w:sz w:val="20"/>
              </w:rPr>
              <w:t>dr.roth@mwk.de</w:t>
            </w:r>
          </w:p>
        </w:tc>
        <w:tc>
          <w:tcPr>
            <w:tcW w:type="dxa" w:w="1512"/>
          </w:tcPr>
          <w:p>
            <w:r>
              <w:rPr>
                <w:rFonts w:ascii="Times New Roman" w:hAnsi="Times New Roman"/>
                <w:sz w:val="20"/>
              </w:rPr>
              <w:t>CR-004</w:t>
            </w:r>
          </w:p>
        </w:tc>
        <w:tc>
          <w:tcPr>
            <w:tcW w:type="dxa" w:w="1512"/>
          </w:tcPr>
          <w:p>
            <w:r>
              <w:rPr>
                <w:rFonts w:ascii="Times New Roman" w:hAnsi="Times New Roman"/>
                <w:sz w:val="20"/>
              </w:rPr>
              <w:t>View</w:t>
            </w:r>
          </w:p>
        </w:tc>
        <w:tc>
          <w:tcPr>
            <w:tcW w:type="dxa" w:w="1512"/>
          </w:tcPr>
          <w:p>
            <w:r>
              <w:rPr>
                <w:rFonts w:ascii="Times New Roman" w:hAnsi="Times New Roman"/>
                <w:sz w:val="20"/>
              </w:rPr>
              <w:t>185.x.x.11</w:t>
            </w:r>
          </w:p>
        </w:tc>
      </w:tr>
      <w:tr>
        <w:tc>
          <w:tcPr>
            <w:tcW w:type="dxa" w:w="1512"/>
          </w:tcPr>
          <w:p>
            <w:r>
              <w:rPr>
                <w:rFonts w:ascii="Times New Roman" w:hAnsi="Times New Roman"/>
                <w:sz w:val="20"/>
              </w:rPr>
              <w:t>26.11.2024</w:t>
            </w:r>
          </w:p>
        </w:tc>
        <w:tc>
          <w:tcPr>
            <w:tcW w:type="dxa" w:w="1512"/>
          </w:tcPr>
          <w:p>
            <w:r>
              <w:rPr>
                <w:rFonts w:ascii="Times New Roman" w:hAnsi="Times New Roman"/>
                <w:sz w:val="20"/>
              </w:rPr>
              <w:t>14:27</w:t>
            </w:r>
          </w:p>
        </w:tc>
        <w:tc>
          <w:tcPr>
            <w:tcW w:type="dxa" w:w="1512"/>
          </w:tcPr>
          <w:p>
            <w:r>
              <w:rPr>
                <w:rFonts w:ascii="Times New Roman" w:hAnsi="Times New Roman"/>
                <w:sz w:val="20"/>
              </w:rPr>
              <w:t>dr.fuchs@mwk.de</w:t>
            </w:r>
          </w:p>
        </w:tc>
        <w:tc>
          <w:tcPr>
            <w:tcW w:type="dxa" w:w="1512"/>
          </w:tcPr>
          <w:p>
            <w:r>
              <w:rPr>
                <w:rFonts w:ascii="Times New Roman" w:hAnsi="Times New Roman"/>
                <w:sz w:val="20"/>
              </w:rPr>
              <w:t>CR-002</w:t>
            </w:r>
          </w:p>
        </w:tc>
        <w:tc>
          <w:tcPr>
            <w:tcW w:type="dxa" w:w="1512"/>
          </w:tcPr>
          <w:p>
            <w:r>
              <w:rPr>
                <w:rFonts w:ascii="Times New Roman" w:hAnsi="Times New Roman"/>
                <w:sz w:val="20"/>
              </w:rPr>
              <w:t>Download</w:t>
            </w:r>
          </w:p>
        </w:tc>
        <w:tc>
          <w:tcPr>
            <w:tcW w:type="dxa" w:w="1512"/>
          </w:tcPr>
          <w:p>
            <w:r>
              <w:rPr>
                <w:rFonts w:ascii="Times New Roman" w:hAnsi="Times New Roman"/>
                <w:sz w:val="20"/>
              </w:rPr>
              <w:t>185.x.x.10</w:t>
            </w:r>
          </w:p>
        </w:tc>
      </w:tr>
      <w:tr>
        <w:tc>
          <w:tcPr>
            <w:tcW w:type="dxa" w:w="1512"/>
          </w:tcPr>
          <w:p>
            <w:r>
              <w:rPr>
                <w:rFonts w:ascii="Times New Roman" w:hAnsi="Times New Roman"/>
                <w:sz w:val="20"/>
              </w:rPr>
              <w:t>26.11.2024</w:t>
            </w:r>
          </w:p>
        </w:tc>
        <w:tc>
          <w:tcPr>
            <w:tcW w:type="dxa" w:w="1512"/>
          </w:tcPr>
          <w:p>
            <w:r>
              <w:rPr>
                <w:rFonts w:ascii="Times New Roman" w:hAnsi="Times New Roman"/>
                <w:sz w:val="20"/>
              </w:rPr>
              <w:t>14:55</w:t>
            </w:r>
          </w:p>
        </w:tc>
        <w:tc>
          <w:tcPr>
            <w:tcW w:type="dxa" w:w="1512"/>
          </w:tcPr>
          <w:p>
            <w:r>
              <w:rPr>
                <w:rFonts w:ascii="Times New Roman" w:hAnsi="Times New Roman"/>
                <w:sz w:val="20"/>
              </w:rPr>
              <w:t>dr.weidemann@mwk.de</w:t>
            </w:r>
          </w:p>
        </w:tc>
        <w:tc>
          <w:tcPr>
            <w:tcW w:type="dxa" w:w="1512"/>
          </w:tcPr>
          <w:p>
            <w:r>
              <w:rPr>
                <w:rFonts w:ascii="Times New Roman" w:hAnsi="Times New Roman"/>
                <w:sz w:val="20"/>
              </w:rPr>
              <w:t>CR-003</w:t>
            </w:r>
          </w:p>
        </w:tc>
        <w:tc>
          <w:tcPr>
            <w:tcW w:type="dxa" w:w="1512"/>
          </w:tcPr>
          <w:p>
            <w:r>
              <w:rPr>
                <w:rFonts w:ascii="Times New Roman" w:hAnsi="Times New Roman"/>
                <w:sz w:val="20"/>
              </w:rPr>
              <w:t>View</w:t>
            </w:r>
          </w:p>
        </w:tc>
        <w:tc>
          <w:tcPr>
            <w:tcW w:type="dxa" w:w="1512"/>
          </w:tcPr>
          <w:p>
            <w:r>
              <w:rPr>
                <w:rFonts w:ascii="Times New Roman" w:hAnsi="Times New Roman"/>
                <w:sz w:val="20"/>
              </w:rPr>
              <w:t>185.x.x.10</w:t>
            </w:r>
          </w:p>
        </w:tc>
      </w:tr>
      <w:tr>
        <w:tc>
          <w:tcPr>
            <w:tcW w:type="dxa" w:w="1512"/>
          </w:tcPr>
          <w:p>
            <w:r>
              <w:rPr>
                <w:rFonts w:ascii="Times New Roman" w:hAnsi="Times New Roman"/>
                <w:sz w:val="20"/>
              </w:rPr>
              <w:t>27.11.2024</w:t>
            </w:r>
          </w:p>
        </w:tc>
        <w:tc>
          <w:tcPr>
            <w:tcW w:type="dxa" w:w="1512"/>
          </w:tcPr>
          <w:p>
            <w:r>
              <w:rPr>
                <w:rFonts w:ascii="Times New Roman" w:hAnsi="Times New Roman"/>
                <w:sz w:val="20"/>
              </w:rPr>
              <w:t>10:10</w:t>
            </w:r>
          </w:p>
        </w:tc>
        <w:tc>
          <w:tcPr>
            <w:tcW w:type="dxa" w:w="1512"/>
          </w:tcPr>
          <w:p>
            <w:r>
              <w:rPr>
                <w:rFonts w:ascii="Times New Roman" w:hAnsi="Times New Roman"/>
                <w:sz w:val="20"/>
              </w:rPr>
              <w:t>dr.fuchs@mwk.de</w:t>
            </w:r>
          </w:p>
        </w:tc>
        <w:tc>
          <w:tcPr>
            <w:tcW w:type="dxa" w:w="1512"/>
          </w:tcPr>
          <w:p>
            <w:r>
              <w:rPr>
                <w:rFonts w:ascii="Times New Roman" w:hAnsi="Times New Roman"/>
                <w:sz w:val="20"/>
              </w:rPr>
              <w:t>CR-006</w:t>
            </w:r>
          </w:p>
        </w:tc>
        <w:tc>
          <w:tcPr>
            <w:tcW w:type="dxa" w:w="1512"/>
          </w:tcPr>
          <w:p>
            <w:r>
              <w:rPr>
                <w:rFonts w:ascii="Times New Roman" w:hAnsi="Times New Roman"/>
                <w:sz w:val="20"/>
              </w:rPr>
              <w:t>Download</w:t>
            </w:r>
          </w:p>
        </w:tc>
        <w:tc>
          <w:tcPr>
            <w:tcW w:type="dxa" w:w="1512"/>
          </w:tcPr>
          <w:p>
            <w:r>
              <w:rPr>
                <w:rFonts w:ascii="Times New Roman" w:hAnsi="Times New Roman"/>
                <w:sz w:val="20"/>
              </w:rPr>
              <w:t>185.x.x.10</w:t>
            </w:r>
          </w:p>
        </w:tc>
      </w:tr>
    </w:tbl>
    <w:p/>
    <w:p>
      <w:pPr>
        <w:pStyle w:val="Heading2"/>
      </w:pPr>
      <w:r>
        <w:rPr>
          <w:rFonts w:ascii="Times New Roman" w:hAnsi="Times New Roman"/>
        </w:rPr>
        <w:t>5. Offene Punkte und Eskalationen</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Nr.</w:t>
            </w:r>
          </w:p>
        </w:tc>
        <w:tc>
          <w:tcPr>
            <w:tcW w:type="dxa" w:w="1814"/>
          </w:tcPr>
          <w:p>
            <w:r>
              <w:rPr>
                <w:rFonts w:ascii="Times New Roman" w:hAnsi="Times New Roman"/>
                <w:b/>
                <w:sz w:val="20"/>
              </w:rPr>
              <w:t>Sachverhalt</w:t>
            </w:r>
          </w:p>
        </w:tc>
        <w:tc>
          <w:tcPr>
            <w:tcW w:type="dxa" w:w="1814"/>
          </w:tcPr>
          <w:p>
            <w:r>
              <w:rPr>
                <w:rFonts w:ascii="Times New Roman" w:hAnsi="Times New Roman"/>
                <w:b/>
                <w:sz w:val="20"/>
              </w:rPr>
              <w:t>Verantwortlich</w:t>
            </w:r>
          </w:p>
        </w:tc>
        <w:tc>
          <w:tcPr>
            <w:tcW w:type="dxa" w:w="1814"/>
          </w:tcPr>
          <w:p>
            <w:r>
              <w:rPr>
                <w:rFonts w:ascii="Times New Roman" w:hAnsi="Times New Roman"/>
                <w:b/>
                <w:sz w:val="20"/>
              </w:rPr>
              <w:t>Status</w:t>
            </w:r>
          </w:p>
        </w:tc>
        <w:tc>
          <w:tcPr>
            <w:tcW w:type="dxa" w:w="1814"/>
          </w:tcPr>
          <w:p>
            <w:r>
              <w:rPr>
                <w:rFonts w:ascii="Times New Roman" w:hAnsi="Times New Roman"/>
                <w:b/>
                <w:sz w:val="20"/>
              </w:rPr>
              <w:t>Deadline</w:t>
            </w:r>
          </w:p>
        </w:tc>
      </w:tr>
      <w:tr>
        <w:tc>
          <w:tcPr>
            <w:tcW w:type="dxa" w:w="1814"/>
          </w:tcPr>
          <w:p>
            <w:r>
              <w:rPr>
                <w:rFonts w:ascii="Times New Roman" w:hAnsi="Times New Roman"/>
                <w:sz w:val="20"/>
              </w:rPr>
              <w:t>1</w:t>
            </w:r>
          </w:p>
        </w:tc>
        <w:tc>
          <w:tcPr>
            <w:tcW w:type="dxa" w:w="1814"/>
          </w:tcPr>
          <w:p>
            <w:r>
              <w:rPr>
                <w:rFonts w:ascii="Times New Roman" w:hAnsi="Times New Roman"/>
                <w:sz w:val="20"/>
              </w:rPr>
              <w:t>CR-005 (Umsatzplan je Kunde): Seller-Freigabe ausstehend</w:t>
            </w:r>
          </w:p>
        </w:tc>
        <w:tc>
          <w:tcPr>
            <w:tcW w:type="dxa" w:w="1814"/>
          </w:tcPr>
          <w:p>
            <w:r>
              <w:rPr>
                <w:rFonts w:ascii="Times New Roman" w:hAnsi="Times New Roman"/>
                <w:sz w:val="20"/>
              </w:rPr>
              <w:t>Seller Counsel Dr. Bäumler</w:t>
            </w:r>
          </w:p>
        </w:tc>
        <w:tc>
          <w:tcPr>
            <w:tcW w:type="dxa" w:w="1814"/>
          </w:tcPr>
          <w:p>
            <w:r>
              <w:rPr>
                <w:rFonts w:ascii="Times New Roman" w:hAnsi="Times New Roman"/>
                <w:sz w:val="20"/>
              </w:rPr>
              <w:t>Ausstehend</w:t>
            </w:r>
          </w:p>
        </w:tc>
        <w:tc>
          <w:tcPr>
            <w:tcW w:type="dxa" w:w="1814"/>
          </w:tcPr>
          <w:p>
            <w:r>
              <w:rPr>
                <w:rFonts w:ascii="Times New Roman" w:hAnsi="Times New Roman"/>
                <w:sz w:val="20"/>
              </w:rPr>
              <w:t>29.11.2024</w:t>
            </w:r>
          </w:p>
        </w:tc>
      </w:tr>
      <w:tr>
        <w:tc>
          <w:tcPr>
            <w:tcW w:type="dxa" w:w="1814"/>
          </w:tcPr>
          <w:p>
            <w:r>
              <w:rPr>
                <w:rFonts w:ascii="Times New Roman" w:hAnsi="Times New Roman"/>
                <w:sz w:val="20"/>
              </w:rPr>
              <w:t>2</w:t>
            </w:r>
          </w:p>
        </w:tc>
        <w:tc>
          <w:tcPr>
            <w:tcW w:type="dxa" w:w="1814"/>
          </w:tcPr>
          <w:p>
            <w:r>
              <w:rPr>
                <w:rFonts w:ascii="Times New Roman" w:hAnsi="Times New Roman"/>
                <w:sz w:val="20"/>
              </w:rPr>
              <w:t>Klärung: Welche Dokumente müssen nach Deal-Scheitern vernichtet werden?</w:t>
            </w:r>
          </w:p>
        </w:tc>
        <w:tc>
          <w:tcPr>
            <w:tcW w:type="dxa" w:w="1814"/>
          </w:tcPr>
          <w:p>
            <w:r>
              <w:rPr>
                <w:rFonts w:ascii="Times New Roman" w:hAnsi="Times New Roman"/>
                <w:sz w:val="20"/>
              </w:rPr>
              <w:t>Sophie Maurer</w:t>
            </w:r>
          </w:p>
        </w:tc>
        <w:tc>
          <w:tcPr>
            <w:tcW w:type="dxa" w:w="1814"/>
          </w:tcPr>
          <w:p>
            <w:r>
              <w:rPr>
                <w:rFonts w:ascii="Times New Roman" w:hAnsi="Times New Roman"/>
                <w:sz w:val="20"/>
              </w:rPr>
              <w:t>In Bearbeitung</w:t>
            </w:r>
          </w:p>
        </w:tc>
        <w:tc>
          <w:tcPr>
            <w:tcW w:type="dxa" w:w="1814"/>
          </w:tcPr>
          <w:p>
            <w:r>
              <w:rPr>
                <w:rFonts w:ascii="Times New Roman" w:hAnsi="Times New Roman"/>
                <w:sz w:val="20"/>
              </w:rPr>
              <w:t>30.11.2024</w:t>
            </w:r>
          </w:p>
        </w:tc>
      </w:tr>
      <w:tr>
        <w:tc>
          <w:tcPr>
            <w:tcW w:type="dxa" w:w="1814"/>
          </w:tcPr>
          <w:p>
            <w:r>
              <w:rPr>
                <w:rFonts w:ascii="Times New Roman" w:hAnsi="Times New Roman"/>
                <w:sz w:val="20"/>
              </w:rPr>
              <w:t>3</w:t>
            </w:r>
          </w:p>
        </w:tc>
        <w:tc>
          <w:tcPr>
            <w:tcW w:type="dxa" w:w="1814"/>
          </w:tcPr>
          <w:p>
            <w:r>
              <w:rPr>
                <w:rFonts w:ascii="Times New Roman" w:hAnsi="Times New Roman"/>
                <w:sz w:val="20"/>
              </w:rPr>
              <w:t>Dual-Use-Gutachten CR-006: Dr. Fuchs bereitet Summary-Memo vor (zur Seller-Genehmigung)</w:t>
            </w:r>
          </w:p>
        </w:tc>
        <w:tc>
          <w:tcPr>
            <w:tcW w:type="dxa" w:w="1814"/>
          </w:tcPr>
          <w:p>
            <w:r>
              <w:rPr>
                <w:rFonts w:ascii="Times New Roman" w:hAnsi="Times New Roman"/>
                <w:sz w:val="20"/>
              </w:rPr>
              <w:t>Dr. Fuchs</w:t>
            </w:r>
          </w:p>
        </w:tc>
        <w:tc>
          <w:tcPr>
            <w:tcW w:type="dxa" w:w="1814"/>
          </w:tcPr>
          <w:p>
            <w:r>
              <w:rPr>
                <w:rFonts w:ascii="Times New Roman" w:hAnsi="Times New Roman"/>
                <w:sz w:val="20"/>
              </w:rPr>
              <w:t>In Bearbeitung</w:t>
            </w:r>
          </w:p>
        </w:tc>
        <w:tc>
          <w:tcPr>
            <w:tcW w:type="dxa" w:w="1814"/>
          </w:tcPr>
          <w:p>
            <w:r>
              <w:rPr>
                <w:rFonts w:ascii="Times New Roman" w:hAnsi="Times New Roman"/>
                <w:sz w:val="20"/>
              </w:rPr>
              <w:t>02.12.2024</w:t>
            </w:r>
          </w:p>
        </w:tc>
      </w:tr>
    </w:tbl>
    <w:p/>
    <w:p>
      <w:pPr>
        <w:pStyle w:val="Heading2"/>
      </w:pPr>
      <w:r>
        <w:rPr>
          <w:rFonts w:ascii="Times New Roman" w:hAnsi="Times New Roman"/>
        </w:rPr>
        <w:t>6. Datenschutz-Hinweis</w:t>
      </w:r>
    </w:p>
    <w:p>
      <w:pPr>
        <w:jc w:val="left"/>
      </w:pPr>
      <w:r>
        <w:t>Alle Daten im Clean Room, die personenbezogene Daten enthalten (z. B. Gehaltsstrukturen, Umsätze von Einzelpersonen in Kleinkunden-Kategorie), wurden vor Aufnahme in den Clean Room anonymisiert oder pseudonymisiert gemäß den Anforderungen der DSGVO (Art. 25 DSGVO, Privacy by Design). Seller Counsel hat bestätigt, dass die Anonymisierung regelkonform erfolgte.</w:t>
      </w:r>
    </w:p>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