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KG-Check — Anteilserwerb und gesellschaftsrechtliche Besonderheiten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Dokument-Nr.:</w:t>
      </w:r>
      <w:r>
        <w:t xml:space="preserve"> STRUCT-KG-001/SIL</w:t>
      </w:r>
    </w:p>
    <w:p>
      <w:pPr>
        <w:jc w:val="left"/>
      </w:pPr>
      <w:r>
        <w:rPr>
          <w:b/>
        </w:rPr>
        <w:t>Datum:</w:t>
      </w:r>
      <w:r>
        <w:t xml:space="preserve"> 12. Dezember 2024</w:t>
      </w:r>
    </w:p>
    <w:p>
      <w:pPr>
        <w:jc w:val="left"/>
      </w:pPr>
      <w:r>
        <w:rPr>
          <w:b/>
        </w:rPr>
        <w:t>Verfasserin:</w:t>
      </w:r>
      <w:r>
        <w:t xml:space="preserve"> Katharina Pfeiffer, Senior Associate</w:t>
      </w:r>
    </w:p>
    <w:p>
      <w:pPr>
        <w:jc w:val="left"/>
      </w:pPr>
      <w:r>
        <w:rPr>
          <w:b/>
        </w:rPr>
        <w:t>Adressat:</w:t>
      </w:r>
      <w:r>
        <w:t xml:space="preserve"> Dr. Markus Weidemann, Dr. Sabine Roth</w:t>
      </w:r>
    </w:p>
    <w:p>
      <w:pPr>
        <w:jc w:val="left"/>
      </w:pPr>
      <w:r>
        <w:rPr>
          <w:b/>
        </w:rPr>
        <w:t>Betreff:</w:t>
      </w:r>
      <w:r>
        <w:t xml:space="preserve"> Gesellschaftsrechtlicher Check — Kommanditgesellschaft und Anteilsübertragung (historisch/Vergleich)</w:t>
      </w:r>
    </w:p>
    <w:p/>
    <w:p>
      <w:pPr>
        <w:pStyle w:val="Heading2"/>
      </w:pPr>
      <w:r>
        <w:rPr>
          <w:rFonts w:ascii="Times New Roman" w:hAnsi="Times New Roman"/>
        </w:rPr>
        <w:t>1. Kontext</w:t>
      </w:r>
    </w:p>
    <w:p>
      <w:pPr>
        <w:jc w:val="left"/>
      </w:pPr>
      <w:r>
        <w:t>Dieses Memo klärt gesellschaftsrechtliche Fragen im Zusammenhang mit der Ausgliederung der Solaris Service GmbH und verweist auf eine frühere Strukturoption, bei der ein KG-Anteilserwerb erwogen wurde. Im vorliegenden Deal ist die Zielgesellschaft die Solaris Industries AG (keine KG), jedoch war im Rahmen der Carve-out-Vorbereitungsmaßnahmen kurzzeitig die Option diskutiert worden, eine GmbH &amp; Co. KG als Zwischenholding einzuschalten. Dieses Memo dokumentiert die Untersuchung dieser Option und erklärt, warum sie verworfen wurde.</w:t>
      </w:r>
    </w:p>
    <w:p>
      <w:pPr>
        <w:jc w:val="left"/>
      </w:pPr>
      <w:r>
        <w:t>Hinweis: Die vorliegende Akte enthält in der Ursprungsversion noch Referenzen auf eine "Delta Maschinenbau GmbH &amp; Co. KG" — dies entstammt einer Frühversion des Aktenkonzepts. Die hiesige Transaktion betrifft die Solaris Industries AG. Das vorliegende Memo klärt, welche KG-relevanten Rechtsfragen trotzdem Bedeutung haben (Solaris Service GmbH als GmbH — kein KG-Recht; jedoch Ausgliederung in neuen Rechtsträger ist angedacht).</w:t>
      </w:r>
    </w:p>
    <w:p/>
    <w:p>
      <w:pPr>
        <w:pStyle w:val="Heading2"/>
      </w:pPr>
      <w:r>
        <w:rPr>
          <w:rFonts w:ascii="Times New Roman" w:hAnsi="Times New Roman"/>
        </w:rPr>
        <w:t>2. Hätte-Option: Zwischenholding als GmbH &amp; Co. KG</w:t>
      </w:r>
    </w:p>
    <w:p>
      <w:pPr>
        <w:pStyle w:val="Heading3"/>
      </w:pPr>
      <w:r>
        <w:rPr>
          <w:rFonts w:ascii="Times New Roman" w:hAnsi="Times New Roman"/>
        </w:rPr>
        <w:t>2.1 Struktur</w:t>
      </w:r>
    </w:p>
    <w:p>
      <w:pPr>
        <w:jc w:val="left"/>
      </w:pPr>
      <w:r>
        <w:t>Die diskutierte Option sah vor, zwischen der Solaris Familienholding AG und der Solaris Industries AG eine GmbH &amp; Co. KG als Zwischenholding einzuführen, um:</w:t>
      </w:r>
    </w:p>
    <w:p>
      <w:pPr>
        <w:pStyle w:val="ListBullet"/>
      </w:pPr>
      <w:r>
        <w:t>Thesaurierungsvorteile (§ 34a EStG) zu nutzen</w:t>
      </w:r>
    </w:p>
    <w:p>
      <w:pPr>
        <w:pStyle w:val="ListBullet"/>
      </w:pPr>
      <w:r>
        <w:t>Sonderbetriebsvermögensthemen (IP-Rechte beim Gesellschafter) abzubilden</w:t>
      </w:r>
    </w:p>
    <w:p>
      <w:pPr>
        <w:pStyle w:val="ListBullet"/>
      </w:pPr>
      <w:r>
        <w:t>Einen einfacheren Anteilserwerb (KG-Anteil vs. Aktie) zu ermöglichen</w:t>
      </w:r>
    </w:p>
    <w:p>
      <w:pPr>
        <w:pStyle w:val="Heading3"/>
      </w:pPr>
      <w:r>
        <w:rPr>
          <w:rFonts w:ascii="Times New Roman" w:hAnsi="Times New Roman"/>
        </w:rPr>
        <w:t>2.2 Anforderungen bei einem KG-Anteilserwerb (allgemein)</w:t>
      </w:r>
    </w:p>
    <w:p>
      <w:pPr>
        <w:jc w:val="left"/>
      </w:pPr>
      <w:r>
        <w:t>Bei einem Erwerb von KG-Anteilen — auch wenn dieser im vorliegenden Deal nicht umgesetzt wird — gelten folgende Besonderheiten:</w:t>
      </w:r>
    </w:p>
    <w:p>
      <w:pPr>
        <w:jc w:val="left"/>
      </w:pPr>
      <w:r>
        <w:rPr>
          <w:b/>
        </w:rPr>
        <w:t>Haftsumme und Haftungsbeschränkung:</w:t>
      </w:r>
    </w:p>
    <w:p>
      <w:pPr>
        <w:pStyle w:val="ListBullet"/>
      </w:pPr>
      <w:r>
        <w:t>Der Kommanditist haftet gegenüber Gläubigern nur bis zur Höhe seiner im Handelsregister eingetragenen Haftsumme (§ 172 HGB).</w:t>
      </w:r>
    </w:p>
    <w:p>
      <w:pPr>
        <w:pStyle w:val="ListBullet"/>
      </w:pPr>
      <w:r>
        <w:t>Die Haftsumme muss beim Anteilserwerb überprüft werden: Ist sie eingezahlt? Sind Nachschusspflichten vereinbart?</w:t>
      </w:r>
    </w:p>
    <w:p>
      <w:pPr>
        <w:pStyle w:val="ListBullet"/>
      </w:pPr>
      <w:r>
        <w:t>Bei Nichteinzahlung oder Rückgewähr der Einlage lebt die Haftung wieder auf (§ 172 Abs. 4 HGB) — ein Due-Diligence-Thema.</w:t>
      </w:r>
    </w:p>
    <w:p>
      <w:pPr>
        <w:jc w:val="left"/>
      </w:pPr>
      <w:r>
        <w:rPr>
          <w:b/>
        </w:rPr>
        <w:t>Kommanditistenwechsel:</w:t>
      </w:r>
    </w:p>
    <w:p>
      <w:pPr>
        <w:pStyle w:val="ListBullet"/>
      </w:pPr>
      <w:r>
        <w:t>Übertragung von KG-Anteilen erfordert im Regelfall Zustimmung aller Mitgesellschafter (§ 105 HGB i.V.m. § 161 HGB), sofern im Gesellschaftsvertrag nichts anderes geregelt.</w:t>
      </w:r>
    </w:p>
    <w:p>
      <w:pPr>
        <w:pStyle w:val="ListBullet"/>
      </w:pPr>
      <w:r>
        <w:t>Der Gesellschaftsvertrag muss auf besondere Zustimmungsrechte, Vorkaufsrechte und Mitverkaufsrechte geprüft werden.</w:t>
      </w:r>
    </w:p>
    <w:p>
      <w:pPr>
        <w:jc w:val="left"/>
      </w:pPr>
      <w:r>
        <w:rPr>
          <w:b/>
        </w:rPr>
        <w:t>Zustimmung Familienbeirat:</w:t>
      </w:r>
    </w:p>
    <w:p>
      <w:pPr>
        <w:pStyle w:val="ListBullet"/>
      </w:pPr>
      <w:r>
        <w:t>Viele familiengeführte Unternehmen mit KG-Struktur haben einen Familienbeirat (kein gesetzliches Organ) mit Vetorechten bei Anteilsübertragungen. Dessen Zustimmung ist rechtzeitig einzuholen.</w:t>
      </w:r>
    </w:p>
    <w:p>
      <w:pPr>
        <w:pStyle w:val="ListBullet"/>
      </w:pPr>
      <w:r>
        <w:t>Im vorliegenden Kontext: Die Solaris Familienholding AG hat einen Familienrat (§ 4 der Familienstiftungssatzung), der über Beteiligungsveräußerungen zu informieren ist. Dies ist kein Veto-, aber ein Informationsrecht — noch zu klären.</w:t>
      </w:r>
    </w:p>
    <w:p>
      <w:pPr>
        <w:jc w:val="left"/>
      </w:pPr>
      <w:r>
        <w:rPr>
          <w:b/>
        </w:rPr>
        <w:t>Registeranmeldung:</w:t>
      </w:r>
    </w:p>
    <w:p>
      <w:pPr>
        <w:pStyle w:val="ListBullet"/>
      </w:pPr>
      <w:r>
        <w:t>Kommanditistenwechsel: Anmeldung beim Handelsregister durch alle Gesellschafter oder deren Bevollmächtigte (§ 162 Abs. 1 HGB); notarielle Form nicht erforderlich, aber Praxis.</w:t>
      </w:r>
    </w:p>
    <w:p>
      <w:pPr>
        <w:pStyle w:val="ListBullet"/>
      </w:pPr>
      <w:r>
        <w:t>Neu: Nach dem Personengesellschaftsrechtsmodernisierungsgesetz (MoPeG, in Kraft seit 1. Januar 2024) gelten neue Regelungen für Personengesellschaften, insbesondere zur Gesellschafterliste.</w:t>
      </w:r>
    </w:p>
    <w:p>
      <w:pPr>
        <w:pStyle w:val="Heading3"/>
      </w:pPr>
      <w:r>
        <w:rPr>
          <w:rFonts w:ascii="Times New Roman" w:hAnsi="Times New Roman"/>
        </w:rPr>
        <w:t>2.3 Warum die Option verworfen wurde</w:t>
      </w:r>
    </w:p>
    <w:p>
      <w:pPr>
        <w:jc w:val="left"/>
      </w:pPr>
      <w:r>
        <w:t>Die KG-Zwischenholding-Option wurde aus folgenden Gründen verworfen:</w:t>
      </w:r>
    </w:p>
    <w:p>
      <w:pPr>
        <w:pStyle w:val="ListNumber"/>
      </w:pPr>
      <w:r>
        <w:rPr>
          <w:b/>
        </w:rPr>
        <w:t>Zeitaufwand:</w:t>
      </w:r>
      <w:r>
        <w:t xml:space="preserve"> Gründung und Eintragung einer GmbH &amp; Co. KG würden mindestens 6–8 Wochen in Anspruch nehmen; dies gefährdet den Closing-Zeitplan (Q1 2025).</w:t>
      </w:r>
    </w:p>
    <w:p>
      <w:pPr>
        <w:pStyle w:val="ListNumber"/>
      </w:pPr>
      <w:r>
        <w:rPr>
          <w:b/>
        </w:rPr>
        <w:t>Sonderbetriebsvermögen:</w:t>
      </w:r>
      <w:r>
        <w:t xml:space="preserve"> IP-Rechte als Sonderbetriebsvermögen beim Kommanditisten (Holding) würden die Carve-out-Struktur erheblich verkomplizieren.</w:t>
      </w:r>
    </w:p>
    <w:p>
      <w:pPr>
        <w:pStyle w:val="ListNumber"/>
      </w:pPr>
      <w:r>
        <w:rPr>
          <w:b/>
        </w:rPr>
        <w:t>Steuerlich:</w:t>
      </w:r>
      <w:r>
        <w:t xml:space="preserve"> Die angestrebten Thesaurierungsvorteile (§ 34a EStG) kommen einem PE-Fonds nicht zugute, da dieser die Erträge ohnehin an Investoren ausschüttet.</w:t>
      </w:r>
    </w:p>
    <w:p>
      <w:pPr>
        <w:pStyle w:val="ListNumber"/>
      </w:pPr>
      <w:r>
        <w:rPr>
          <w:b/>
        </w:rPr>
        <w:t>W&amp;I:</w:t>
      </w:r>
      <w:r>
        <w:t xml:space="preserve"> W&amp;I-Underwriter bevorzugen klare AG-Strukturen; eine KG wäre bei Warranty-Claims schwieriger abzusichern.</w:t>
      </w:r>
    </w:p>
    <w:p/>
    <w:p>
      <w:pPr>
        <w:pStyle w:val="Heading2"/>
      </w:pPr>
      <w:r>
        <w:rPr>
          <w:rFonts w:ascii="Times New Roman" w:hAnsi="Times New Roman"/>
        </w:rPr>
        <w:t>3. Relevante KG-Aspekte in der Ist-Struktur</w:t>
      </w:r>
    </w:p>
    <w:p>
      <w:pPr>
        <w:pStyle w:val="Heading3"/>
      </w:pPr>
      <w:r>
        <w:rPr>
          <w:rFonts w:ascii="Times New Roman" w:hAnsi="Times New Roman"/>
        </w:rPr>
        <w:t>3.1 Solaris Service GmbH als Ausgliederungsziel</w:t>
      </w:r>
    </w:p>
    <w:p>
      <w:pPr>
        <w:jc w:val="left"/>
      </w:pPr>
      <w:r>
        <w:t xml:space="preserve">Die Solaris Service GmbH (GmbH, nicht KG) soll vor Signing auf Ebene der Solaris Industries AG eingegliedert werden. Dies erfolgt durch </w:t>
      </w:r>
      <w:r>
        <w:rPr>
          <w:b/>
        </w:rPr>
        <w:t>Ausgliederung zur Aufnahme</w:t>
      </w:r>
      <w:r>
        <w:t xml:space="preserve"> nach § 123 Abs. 3 Nr. 1 UmwG. Für die GmbH (kein KG-Recht) gelten folgende Anforderungen:</w:t>
      </w:r>
    </w:p>
    <w:p>
      <w:pPr>
        <w:pStyle w:val="ListBullet"/>
      </w:pPr>
      <w:r>
        <w:t>Ausgliederungsplan (notariell beurkundet, § 125 i.V.m. § 6 UmwG)</w:t>
      </w:r>
    </w:p>
    <w:p>
      <w:pPr>
        <w:pStyle w:val="ListBullet"/>
      </w:pPr>
      <w:r>
        <w:t>Gesellschafterbeschluss der übertragenden GmbH (75 %-Mehrheit, § 125 i.V.m. § 50 UmwG)</w:t>
      </w:r>
    </w:p>
    <w:p>
      <w:pPr>
        <w:pStyle w:val="ListBullet"/>
      </w:pPr>
      <w:r>
        <w:t>Zustimmung Aufnehmende (AG: Hauptversammlung oder nach Satzung: Vorstand mit AR-Zustimmung, § 125 i.V.m. § 13 UmwG)</w:t>
      </w:r>
    </w:p>
    <w:p>
      <w:pPr>
        <w:pStyle w:val="ListBullet"/>
      </w:pPr>
      <w:r>
        <w:t>Eintragung im Handelsregister am Sitz beider Gesellschaften</w:t>
      </w:r>
    </w:p>
    <w:p>
      <w:pPr>
        <w:pStyle w:val="ListBullet"/>
      </w:pPr>
      <w:r>
        <w:t>Gläubigeraufruf (§ 125 i.V.m. §§ 22–23 UmwG, 1-Monats-Frist)</w:t>
      </w:r>
    </w:p>
    <w:p>
      <w:pPr>
        <w:jc w:val="left"/>
      </w:pPr>
      <w:r>
        <w:rPr>
          <w:b/>
        </w:rPr>
        <w:t>Status:</w:t>
      </w:r>
      <w:r>
        <w:t xml:space="preserve"> Entwurf Ausgliederungsplan ausstehend (Gap G-005). Notarin Dr. Franziska Werner, Augsburg, ist beauftragt; Beurkundungstermin angestrebt für 18. Dezember 2024.</w:t>
      </w:r>
    </w:p>
    <w:p>
      <w:pPr>
        <w:pStyle w:val="Heading3"/>
      </w:pPr>
      <w:r>
        <w:rPr>
          <w:rFonts w:ascii="Times New Roman" w:hAnsi="Times New Roman"/>
        </w:rPr>
        <w:t>3.2 Checkliste offene 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Entwurf Ausgliederungsplan (notariell)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Notarin Werner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GmbH-Gesellschafterbeschluss (Übertragerin)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Seller Counsel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AR-Beschluss Solaris AG (Aufnehmende, § 179a)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Seller Counsel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Gläubigeraufruf veröffentlichen (Bundesanzeiger)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Seller Counsel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 Beurkundung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Handelsregistereintragung (Ziel: vor Signing)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Notarin Werner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10.01.2025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Familienrat-Information nach Stiftungssatzung §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Weidemann prüft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20.12.2024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