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SPA Key Issues Liste — Projekt Silberfalke</w:t>
      </w:r>
    </w:p>
    <w:p>
      <w:pPr>
        <w:jc w:val="left"/>
      </w:pPr>
      <w:r>
        <w:rPr>
          <w:b/>
        </w:rPr>
        <w:t>Aktenzeichen:</w:t>
      </w:r>
      <w:r>
        <w:t xml:space="preserve"> MWK/2024/SIL-001</w:t>
      </w:r>
    </w:p>
    <w:p>
      <w:pPr>
        <w:jc w:val="left"/>
      </w:pPr>
      <w:r>
        <w:rPr>
          <w:b/>
        </w:rPr>
        <w:t>Dokument-Nr.:</w:t>
      </w:r>
      <w:r>
        <w:t xml:space="preserve"> SPA-KEYS-001/SIL</w:t>
      </w:r>
    </w:p>
    <w:p>
      <w:pPr>
        <w:jc w:val="left"/>
      </w:pPr>
      <w:r>
        <w:rPr>
          <w:b/>
        </w:rPr>
        <w:t>Version:</w:t>
      </w:r>
      <w:r>
        <w:t xml:space="preserve"> 1.3 (Stand: 15. Dezember 2024)</w:t>
      </w:r>
    </w:p>
    <w:p>
      <w:pPr>
        <w:jc w:val="left"/>
      </w:pPr>
      <w:r>
        <w:rPr>
          <w:b/>
        </w:rPr>
        <w:t>Verfasser:</w:t>
      </w:r>
      <w:r>
        <w:t xml:space="preserve"> Dr. Markus Weidemann, Katharina Pfeiffer, Dr. Sabine Roth</w:t>
      </w:r>
    </w:p>
    <w:p>
      <w:pPr>
        <w:jc w:val="left"/>
      </w:pPr>
      <w:r>
        <w:rPr>
          <w:b/>
        </w:rPr>
        <w:t>Adressat:</w:t>
      </w:r>
      <w:r>
        <w:t xml:space="preserve"> Eagle Capital Partners GmbH &amp; Co. KG (Felix Brandl) / Seller Counsel Dr. Bäumler</w:t>
      </w:r>
    </w:p>
    <w:p>
      <w:pPr>
        <w:jc w:val="left"/>
      </w:pPr>
      <w:r>
        <w:rPr>
          <w:b/>
        </w:rPr>
        <w:t>Betreff:</w:t>
      </w:r>
      <w:r>
        <w:t xml:space="preserve"> Key Issues für SPA-Verhandlung — offene Punkte und Positionen</w:t>
      </w:r>
    </w:p>
    <w:p/>
    <w:p>
      <w:pPr>
        <w:pStyle w:val="Heading2"/>
      </w:pPr>
      <w:r>
        <w:rPr>
          <w:rFonts w:ascii="Times New Roman" w:hAnsi="Times New Roman"/>
        </w:rPr>
        <w:t>1. Kaufpreismechanismus — Locked Box vs. Completion Accounts</w:t>
      </w:r>
    </w:p>
    <w:p>
      <w:pPr>
        <w:pStyle w:val="Heading3"/>
      </w:pPr>
      <w:r>
        <w:rPr>
          <w:rFonts w:ascii="Times New Roman" w:hAnsi="Times New Roman"/>
        </w:rPr>
        <w:t>1.1 Ausgangslage</w:t>
      </w:r>
    </w:p>
    <w:p>
      <w:pPr>
        <w:jc w:val="left"/>
      </w:pPr>
      <w:r>
        <w:t>ECP hat in seiner Binding Offer signalisiert, einen Locked-Box-Mechanismus zu bevorzugen. Der Seller/Finanzberater hat in der Prozesskorrespondenz keinen ausdrücklichen Vorbehalt gegen Locked Box geäußert, aber auf die Vollständigkeit des Jahresabschlusses 2023 bestanden.</w:t>
      </w:r>
    </w:p>
    <w:p>
      <w:pPr>
        <w:pStyle w:val="Heading3"/>
      </w:pPr>
      <w:r>
        <w:rPr>
          <w:rFonts w:ascii="Times New Roman" w:hAnsi="Times New Roman"/>
        </w:rPr>
        <w:t>1.2 Locked Box (ECP-Präferenz)</w:t>
      </w:r>
    </w:p>
    <w:p>
      <w:pPr>
        <w:pStyle w:val="ListBullet"/>
      </w:pPr>
      <w:r>
        <w:rPr>
          <w:b/>
        </w:rPr>
        <w:t>Stichtag:</w:t>
      </w:r>
      <w:r>
        <w:t xml:space="preserve"> 31. Dezember 2023 (vorbehaltlich Vorlage JA 2023)</w:t>
      </w:r>
    </w:p>
    <w:p>
      <w:pPr>
        <w:pStyle w:val="ListBullet"/>
      </w:pPr>
      <w:r>
        <w:rPr>
          <w:b/>
        </w:rPr>
        <w:t>Locked-Box-Date:</w:t>
      </w:r>
      <w:r>
        <w:t xml:space="preserve"> Kaufpreis basiert auf dem Eigenkapital zum 31. Dezember 2023 (Enterprise Value EUR 180 Mio. abzüglich Nettoverschuldung per 31. Dezember 2023)</w:t>
      </w:r>
    </w:p>
    <w:p>
      <w:pPr>
        <w:pStyle w:val="ListBullet"/>
      </w:pPr>
      <w:r>
        <w:rPr>
          <w:b/>
        </w:rPr>
        <w:t>Leakage-Schutz:</w:t>
      </w:r>
      <w:r>
        <w:t xml:space="preserve"> Seller verpflichtet sich, keine "Leakage" (Werttransfers aus der Gesellschaft an Seller oder verbundene Parteien) zwischen dem Locked-Box-Date und dem Closing zu veranlassen.</w:t>
      </w:r>
    </w:p>
    <w:p>
      <w:pPr>
        <w:pStyle w:val="ListBullet"/>
      </w:pPr>
      <w:r>
        <w:rPr>
          <w:b/>
        </w:rPr>
        <w:t>Permitted Leakage:</w:t>
      </w:r>
      <w:r>
        <w:t xml:space="preserve"> Vereinbarte, abschließend definierte Ausnahmen (z. B. laufende Geschäftsführer-Vergütung, Dividenden wenn ausdrücklich zugestimmt).</w:t>
      </w:r>
    </w:p>
    <w:p>
      <w:pPr>
        <w:pStyle w:val="ListBullet"/>
      </w:pPr>
      <w:r>
        <w:rPr>
          <w:b/>
        </w:rPr>
        <w:t>Praxis:</w:t>
      </w:r>
      <w:r>
        <w:t xml:space="preserve"> Seller stellt eine Locked-Box-Guarantee aus; bei Verletzung Schadensersatz EUR-für-EUR.</w:t>
      </w:r>
    </w:p>
    <w:p>
      <w:pPr>
        <w:jc w:val="left"/>
      </w:pPr>
      <w:r>
        <w:rPr>
          <w:b/>
        </w:rPr>
        <w:t>Vorteil für ECP:</w:t>
      </w:r>
      <w:r>
        <w:t xml:space="preserve"> Kaufpreissicherheit; kein post-Closing-Streit über Abschlusskonten.</w:t>
      </w:r>
    </w:p>
    <w:p>
      <w:pPr>
        <w:jc w:val="left"/>
      </w:pPr>
      <w:r>
        <w:rPr>
          <w:b/>
        </w:rPr>
        <w:t>Vorteil für Seller:</w:t>
      </w:r>
      <w:r>
        <w:t xml:space="preserve"> Einmaliger Prozess ohne Completion-Accounts-Prüfung.</w:t>
      </w:r>
    </w:p>
    <w:p>
      <w:pPr>
        <w:pStyle w:val="Heading3"/>
      </w:pPr>
      <w:r>
        <w:rPr>
          <w:rFonts w:ascii="Times New Roman" w:hAnsi="Times New Roman"/>
        </w:rPr>
        <w:t>1.3 Completion Accounts (Seller-Alternative)</w:t>
      </w:r>
    </w:p>
    <w:p>
      <w:pPr>
        <w:jc w:val="left"/>
      </w:pPr>
      <w:r>
        <w:t>Sollte Locked Box nicht vereinbart werden, sind Completion Accounts zum Closing-Stichtag zu erstellen; Kaufpreisanpassung anhand des tatsächlichen Eigenkapitals / Nettoverschuldung. Streitanfällig und zeitaufwendig.</w:t>
      </w:r>
    </w:p>
    <w:p>
      <w:pPr>
        <w:jc w:val="left"/>
      </w:pPr>
      <w:r>
        <w:rPr>
          <w:b/>
        </w:rPr>
        <w:t>Empfehlung:</w:t>
      </w:r>
      <w:r>
        <w:t xml:space="preserve"> Locked Box, sofern JA 2023 bis 20. Dezember 2024 vorliegt.</w:t>
      </w:r>
    </w:p>
    <w:p/>
    <w:p>
      <w:pPr>
        <w:pStyle w:val="Heading2"/>
      </w:pPr>
      <w:r>
        <w:rPr>
          <w:rFonts w:ascii="Times New Roman" w:hAnsi="Times New Roman"/>
        </w:rPr>
        <w:t>2. Change-of-Control Consent Kunde A</w:t>
      </w:r>
    </w:p>
    <w:p>
      <w:pPr>
        <w:pStyle w:val="Heading3"/>
      </w:pPr>
      <w:r>
        <w:rPr>
          <w:rFonts w:ascii="Times New Roman" w:hAnsi="Times New Roman"/>
        </w:rPr>
        <w:t>2.1 Verhandlungsstand</w:t>
      </w:r>
    </w:p>
    <w:p>
      <w:pPr>
        <w:jc w:val="left"/>
      </w:pPr>
      <w:r>
        <w:t>Seller Counsel hat in der Telefonkonferenz vom 10. Dezember 2024 mitgeteilt, dass Kunde A "prinzipiell bereit" sei, einen Waiver zu erteilen, sofern ECP vor Closing eine Geschäftsführer-Präsentation bei Kunde A durchführt (Key-Relationship-Termin). Dies ist ein unüblicher, aber akzeptabler Ansatz.</w:t>
      </w:r>
    </w:p>
    <w:p>
      <w:pPr>
        <w:pStyle w:val="Heading3"/>
      </w:pPr>
      <w:r>
        <w:rPr>
          <w:rFonts w:ascii="Times New Roman" w:hAnsi="Times New Roman"/>
        </w:rPr>
        <w:t>2.2 SPA-Klausel-Optionen</w:t>
      </w:r>
    </w:p>
    <w:p>
      <w:pPr>
        <w:jc w:val="left"/>
      </w:pPr>
      <w:r>
        <w:rPr>
          <w:b/>
        </w:rPr>
        <w:t>Option 1 — Closing Condition (ECP-Position):</w:t>
      </w:r>
    </w:p>
    <w:p>
      <w:pPr>
        <w:jc w:val="left"/>
      </w:pPr>
      <w:r>
        <w:t>Closing ist aufschiebend bedingt durch die schriftliche Bestätigung von Kunde A, auf sein CoC-Kündigungsrecht gemäß § 16 Abs. 3 des Rahmenvertrags C-001 zu verzichten. Fristsetzung: Waiver muss bis zum 20. Januar 2025 (10 Tage vor geplantem Signing) vorliegen.</w:t>
      </w:r>
    </w:p>
    <w:p>
      <w:pPr>
        <w:jc w:val="left"/>
      </w:pPr>
      <w:r>
        <w:rPr>
          <w:b/>
        </w:rPr>
        <w:t>Option 2 — Pre-Signing Condition (härtere Variante):</w:t>
      </w:r>
    </w:p>
    <w:p>
      <w:pPr>
        <w:jc w:val="left"/>
      </w:pPr>
      <w:r>
        <w:t>Waiver muss als Bedingung vor dem Signing-Termin erfüllt sein (nicht erst zum Closing). Kann zu Signing-Verzögerung führen, gibt ECP aber maximale Sicherheit.</w:t>
      </w:r>
    </w:p>
    <w:p>
      <w:pPr>
        <w:jc w:val="left"/>
      </w:pPr>
      <w:r>
        <w:rPr>
          <w:b/>
        </w:rPr>
        <w:t>Option 3 — Kaufpreisabschlag + Garantie (Seller-Option):</w:t>
      </w:r>
    </w:p>
    <w:p>
      <w:pPr>
        <w:jc w:val="left"/>
      </w:pPr>
      <w:r>
        <w:t>Falls Waiver nicht möglich: Escrow-Einbehalt EUR 12 Mio. (entspricht ca. 2x Jahres-EBITDA-Beitrag Kunde A); Freigabe nach 12 Monaten ohne Kündigung von Kunde A. Kombination mit Garantie der Seller (keine Kenntnis von Kündigungsabsicht).</w:t>
      </w:r>
    </w:p>
    <w:p>
      <w:pPr>
        <w:jc w:val="left"/>
      </w:pPr>
      <w:r>
        <w:rPr>
          <w:b/>
        </w:rPr>
        <w:t>ECP-Position:</w:t>
      </w:r>
      <w:r>
        <w:t xml:space="preserve"> Option 1 (Closing Condition); fallback Option 3 bei Scheitern.</w:t>
      </w:r>
    </w:p>
    <w:p/>
    <w:p>
      <w:pPr>
        <w:pStyle w:val="Heading2"/>
      </w:pPr>
      <w:r>
        <w:rPr>
          <w:rFonts w:ascii="Times New Roman" w:hAnsi="Times New Roman"/>
        </w:rPr>
        <w:t>3. Tax Covenant für Umwandlung 2024</w:t>
      </w:r>
    </w:p>
    <w:p>
      <w:pPr>
        <w:pStyle w:val="Heading3"/>
      </w:pPr>
      <w:r>
        <w:rPr>
          <w:rFonts w:ascii="Times New Roman" w:hAnsi="Times New Roman"/>
        </w:rPr>
        <w:t>3.1 Inhalt</w:t>
      </w:r>
    </w:p>
    <w:p>
      <w:pPr>
        <w:jc w:val="left"/>
      </w:pPr>
      <w:r>
        <w:t>Das Steuer-Covenant (auch: Tax Indemnity) regelt die Übernahme der Steuerlast für Steuernachforderungen, die auf Sachverhalte vor dem steuerlichen Übertragungsstichtag (31. Dezember 2023, Locked-Box-Date) zurückzuführen sind.</w:t>
      </w:r>
    </w:p>
    <w:p>
      <w:pPr>
        <w:pStyle w:val="Heading3"/>
      </w:pPr>
      <w:r>
        <w:rPr>
          <w:rFonts w:ascii="Times New Roman" w:hAnsi="Times New Roman"/>
        </w:rPr>
        <w:t>3.2 ECP-Forderungen</w:t>
      </w:r>
    </w:p>
    <w:p>
      <w:pPr>
        <w:pStyle w:val="ListBullet"/>
      </w:pPr>
      <w:r>
        <w:rPr>
          <w:b/>
        </w:rPr>
        <w:t>Zeitliche Reichweite:</w:t>
      </w:r>
      <w:r>
        <w:t xml:space="preserve"> Alle Steuernachforderungen für Veranlagungszeiträume bis einschließlich 2023 (inklusive der Umwandlung 2024 mit steuerlicher Rückwirkung auf 1. Januar 2024).</w:t>
      </w:r>
    </w:p>
    <w:p>
      <w:pPr>
        <w:pStyle w:val="ListBullet"/>
      </w:pPr>
      <w:r>
        <w:rPr>
          <w:b/>
        </w:rPr>
        <w:t>Steuern:</w:t>
      </w:r>
      <w:r>
        <w:t xml:space="preserve"> KSt, GewSt, USt, LSt, alle ausländischen Steuern.</w:t>
      </w:r>
    </w:p>
    <w:p>
      <w:pPr>
        <w:pStyle w:val="ListBullet"/>
      </w:pPr>
      <w:r>
        <w:rPr>
          <w:b/>
        </w:rPr>
        <w:t>Ausnahmen (Seller akzeptiert):</w:t>
      </w:r>
      <w:r>
        <w:t xml:space="preserve"> Nur Steuernachforderungen, die auf der Verletzung von Mitwirkungspflichten durch den Käufer nach Closing beruhen.</w:t>
      </w:r>
    </w:p>
    <w:p>
      <w:pPr>
        <w:pStyle w:val="ListBullet"/>
      </w:pPr>
      <w:r>
        <w:rPr>
          <w:b/>
        </w:rPr>
        <w:t>Verjährung:</w:t>
      </w:r>
      <w:r>
        <w:t xml:space="preserve"> Tax Covenant läuft bis zum Ende der steuerlichen Verjährungsfrist (gemäß § 169 AO: 4 Jahre regulär, 5 Jahre bei leichter Fahrlässigkeit, 10 Jahre bei Hinterziehung). Mindestlaufzeit aus ECP-Sicht: 7 Jahre.</w:t>
      </w:r>
    </w:p>
    <w:p>
      <w:pPr>
        <w:pStyle w:val="ListBullet"/>
      </w:pPr>
      <w:r>
        <w:rPr>
          <w:b/>
        </w:rPr>
        <w:t>Kooperationsklausel:</w:t>
      </w:r>
      <w:r>
        <w:t xml:space="preserve"> Seller muss bei Betriebsprüfungen kooperieren, informiert werden und darf keine Verfahren ohne Käufer-Zustimmung beilegen.</w:t>
      </w:r>
    </w:p>
    <w:p>
      <w:pPr>
        <w:pStyle w:val="Heading3"/>
      </w:pPr>
      <w:r>
        <w:rPr>
          <w:rFonts w:ascii="Times New Roman" w:hAnsi="Times New Roman"/>
        </w:rPr>
        <w:t>3.3 Seller-Position (bekannt)</w:t>
      </w:r>
    </w:p>
    <w:p>
      <w:pPr>
        <w:jc w:val="left"/>
      </w:pPr>
      <w:r>
        <w:t>Seller akzeptiert Tax Covenant im Grundsatz; diskutiert:</w:t>
      </w:r>
    </w:p>
    <w:p>
      <w:pPr>
        <w:pStyle w:val="ListBullet"/>
      </w:pPr>
      <w:r>
        <w:t>Freistellungsgrenze: EUR 100.000 (de minimis)</w:t>
      </w:r>
    </w:p>
    <w:p>
      <w:pPr>
        <w:pStyle w:val="ListBullet"/>
      </w:pPr>
      <w:r>
        <w:t>Gesamtdeckel: EUR 20 Mio. (ca. 11 % EV)</w:t>
      </w:r>
    </w:p>
    <w:p>
      <w:pPr>
        <w:pStyle w:val="ListBullet"/>
      </w:pPr>
      <w:r>
        <w:t>Ausschluss: Steuernachforderungen, die durch post-Closing-Maßnahmen des Käufers verursacht werden</w:t>
      </w:r>
    </w:p>
    <w:p/>
    <w:p>
      <w:pPr>
        <w:pStyle w:val="Heading2"/>
      </w:pPr>
      <w:r>
        <w:rPr>
          <w:rFonts w:ascii="Times New Roman" w:hAnsi="Times New Roman"/>
        </w:rPr>
        <w:t>4. W&amp;I Seller Limitation</w:t>
      </w:r>
    </w:p>
    <w:p>
      <w:pPr>
        <w:pStyle w:val="Heading3"/>
      </w:pPr>
      <w:r>
        <w:rPr>
          <w:rFonts w:ascii="Times New Roman" w:hAnsi="Times New Roman"/>
        </w:rPr>
        <w:t>4.1 Ausgangssituation</w:t>
      </w:r>
    </w:p>
    <w:p>
      <w:pPr>
        <w:jc w:val="left"/>
      </w:pPr>
      <w:r>
        <w:t>ECP setzt W&amp;I-Versicherung ein (Underwriter: Allianz Risk Transfer; Policy in Verhandlung). Dies bedeutet, dass der Großteil der Garantieansprüche über die Versicherungspolice abgewickelt wird und nicht direkt gegen den Seller durchgesetzt wird.</w:t>
      </w:r>
    </w:p>
    <w:p>
      <w:pPr>
        <w:jc w:val="left"/>
      </w:pPr>
      <w:r>
        <w:t>Für W&amp;I-Transaktionen typische Seller-Limitations: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Begrenzung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ECP-Forderung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Seller-Position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Seller-seitiger Garantierückbehalt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0 % (voller Transfer auf W&amp;I)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1 % EV (EUR 1,8 Mio.) als Puffer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Direktansprüche gegen Seller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bei Fraud / arglistiger Täuschung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bei Fraud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W&amp;I-Policy-Selbstbehalt (Retention)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1,8 Mio. (1 % EV)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3,6 Mio. (2 % EV)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W&amp;I-Policy-Deckungssumme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36 Mio. (20 % EV)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27 Mio. (15 % EV)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Laufzeit Garantien (Title)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Unbegrenzt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Laufzeit Garantien (andere)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Jahre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ECP akzeptiert EUR 1,8 Mio. Seller-Puffer; legt Deckungssumme auf EUR 36 Mio. fest; verhandelt Retention auf EUR 1,8 Mio. runter. W&amp;I-Prämie schätzungsweise EUR 720.000 (2 % der Policy-Summe).</w:t>
      </w:r>
    </w:p>
    <w:p/>
    <w:p>
      <w:pPr>
        <w:pStyle w:val="Heading2"/>
      </w:pPr>
      <w:r>
        <w:rPr>
          <w:rFonts w:ascii="Times New Roman" w:hAnsi="Times New Roman"/>
        </w:rPr>
        <w:t>5. Weitere Key Issues (Kurzübersicht)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ECP-Position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MAC-Klausel (Material Adverse Change)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Enge Definition; keine generellen Marktveränderungen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— Seller will breite MAC-Definition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Non-Compete Seller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Jahre, global (Antriebssystemtechnik)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 fordert 2 Jahre, nur DACH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Carve-out-Vollständigkeit TSA-Pakete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 TSA-Entwürfe als Signing-Anlage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IT-TSA noch nicht final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Regulatory Freigaben als Closing Condition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Fusionskontrolle DE + AWV; ggf. CFIUS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kein Zeitplan bekannt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Escrow-Einbehalt allgemein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10 % EV (EUR 18 Mio.) für 18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Seller bietet 5 % / 12 Monate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Equity Bridge-Loan (Überbrückung bis Closing)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ECP-intern zu klären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Intern: in Prüfung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SPA-Zeitplan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Geplantes 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SPA-Ersternentwurf (Seller)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Seller Counsel Dr. Bäumler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 Dezember 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Kommentierung Käufer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Weidemann / Katharina Pfeiffer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 Januar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Verhandlungsrunde 1 (Video)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Beide Seiten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 Januar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Verhandlungsrunde 2 (in person, Frankfurt)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Beide Seiten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 Januar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 Signing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 Frankfurt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 Januar 2025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