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Regulatory Map —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Erstellt:</w:t>
      </w:r>
      <w:r>
        <w:t xml:space="preserve"> 16.05.2026</w:t>
      </w:r>
    </w:p>
    <w:p>
      <w:pPr>
        <w:jc w:val="left"/>
      </w:pPr>
      <w:r>
        <w:rPr>
          <w:b/>
        </w:rPr>
        <w:t>Verfasser:</w:t>
      </w:r>
      <w:r>
        <w:t xml:space="preserve"> Associate C (Regulatory Group)</w:t>
      </w:r>
    </w:p>
    <w:p>
      <w:pPr>
        <w:jc w:val="left"/>
      </w:pPr>
      <w:r>
        <w:rPr>
          <w:b/>
        </w:rPr>
        <w:t>Status:</w:t>
      </w:r>
      <w:r>
        <w:t xml:space="preserve"> Arbeitsfassung — nicht final</w:t>
      </w:r>
    </w:p>
    <w:p/>
    <w:p>
      <w:pPr>
        <w:pStyle w:val="Heading2"/>
      </w:pPr>
      <w:r>
        <w:rPr>
          <w:rFonts w:ascii="Times New Roman" w:hAnsi="Times New Roman"/>
        </w:rPr>
        <w:t>1. Überblick Genehmigungserfordernis</w:t>
      </w:r>
    </w:p>
    <w:p>
      <w:pPr>
        <w:jc w:val="left"/>
      </w:pPr>
      <w:r>
        <w:t>Die Transaktion (Erwerb sämtlicher Anteile an der Solaris Industries AG durch Eagle Capital Partners Fund V GmbH &amp; Co. KG, Volumen ca. EUR 180 Mio. Enterprise Value) löst voraussichtlich mehrstufige regulatorische Prüfpflichten aus. Nachfolgend wird der Stand der Analyse per Signing-Datum 15.05.2026 dokumentiert.</w:t>
      </w:r>
    </w:p>
    <w:p/>
    <w:p>
      <w:pPr>
        <w:pStyle w:val="Heading2"/>
      </w:pPr>
      <w:r>
        <w:rPr>
          <w:rFonts w:ascii="Times New Roman" w:hAnsi="Times New Roman"/>
        </w:rPr>
        <w:t>2. Fusionskontrolle</w:t>
      </w:r>
    </w:p>
    <w:p>
      <w:pPr>
        <w:pStyle w:val="Heading3"/>
      </w:pPr>
      <w:r>
        <w:rPr>
          <w:rFonts w:ascii="Times New Roman" w:hAnsi="Times New Roman"/>
        </w:rPr>
        <w:t>2.1 FKVO (EU-Fusionskontrollverordnung)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Schwellenwert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Indikation Solaris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Weltweiter Gesamtumsatz alle Beteiligten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5 Mrd.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(Summe ca. EUR 680 Mio.)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EU-weiter Umsatz mind. 2 Beteiligte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 &gt; EUR 250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Zwei-Drittel-Klausel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 in einem MS &gt; 2/3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prüfen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FKVO-Aufgreifkriterienschwelle voraussichtlich nicht erreicht. Eine Prüfung nach Art. 4 Abs. 5 FKVO (Verweisung) ist nicht angezeigt, solange keine nationalen Behörden zuständig sind. Die Analyse wird nach Erhalt der endgültigen Umsatzzahlen für Geschäftsjahr 2025 aktualisiert.</w:t>
      </w:r>
    </w:p>
    <w:p>
      <w:pPr>
        <w:pStyle w:val="Heading3"/>
      </w:pPr>
      <w:r>
        <w:rPr>
          <w:rFonts w:ascii="Times New Roman" w:hAnsi="Times New Roman"/>
        </w:rPr>
        <w:t>2.2 GWB / Bundeskartellamt (BKartA)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Schwellenwert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Indikation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Weltweiter Gesamtumsatz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500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prüfen (Eagle-Konzern)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Inländischer Umsatz mind. eines Beteiligten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25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(Solaris ca. EUR 38 Mio.)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Inländischer Umsatz zweites Beteiligten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5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Sonderregel Transaktionswert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&gt; EUR 400 Mio.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Anmeldeschwelle GWB §§ 35, 37, 39 GWB voraussichtlich </w:t>
      </w:r>
      <w:r>
        <w:rPr>
          <w:b/>
        </w:rPr>
        <w:t>erreicht</w:t>
      </w:r>
      <w:r>
        <w:t>. Anmeldung beim Bundeskartellamt ist erforderlich. Bearbeitungszeit Phase 1: 1 Monat, Phase 2: bis zu 4 Monate. Closing-Bedingung: Freigabe oder Fristablauf.</w:t>
      </w:r>
    </w:p>
    <w:p>
      <w:pPr>
        <w:jc w:val="left"/>
      </w:pPr>
      <w:r>
        <w:rPr>
          <w:b/>
        </w:rPr>
        <w:t>Zuständiger Anwalt:</w:t>
      </w:r>
      <w:r>
        <w:t xml:space="preserve"> Dr. Meiners, Regulatory Group</w:t>
      </w:r>
    </w:p>
    <w:p>
      <w:pPr>
        <w:jc w:val="left"/>
      </w:pPr>
      <w:r>
        <w:rPr>
          <w:b/>
        </w:rPr>
        <w:t>Anmeldungspaket vorzubereiten bis:</w:t>
      </w:r>
      <w:r>
        <w:t xml:space="preserve"> 20.06.2026 (Ziel: Anmeldung 30.06.2026)</w:t>
      </w:r>
    </w:p>
    <w:p>
      <w:pPr>
        <w:pStyle w:val="Heading3"/>
      </w:pPr>
      <w:r>
        <w:rPr>
          <w:rFonts w:ascii="Times New Roman" w:hAnsi="Times New Roman"/>
        </w:rPr>
        <w:t>2.3 Sonstige Jurisdiktionen</w:t>
      </w:r>
    </w:p>
    <w:p>
      <w:pPr>
        <w:jc w:val="left"/>
      </w:pPr>
      <w:r>
        <w:t>Solaris Industries AG hat Produktionsstätten in Österreich (Umsatz ca. EUR 12 Mio.) und Polen (Umsatz ca. EUR 8 Mio.). Für Österreich und Polen werden keine eigenständigen Anmeldepflichten gesehen (unter den nationalen Schwellenwerten), wird aber durch lokale Counsel bestätigt.</w:t>
      </w:r>
    </w:p>
    <w:p/>
    <w:p>
      <w:pPr>
        <w:pStyle w:val="Heading2"/>
      </w:pPr>
      <w:r>
        <w:rPr>
          <w:rFonts w:ascii="Times New Roman" w:hAnsi="Times New Roman"/>
        </w:rPr>
        <w:t>3. Außenwirtschaftsrecht / FDI-Prüfung (AWG/AWV)</w:t>
      </w:r>
    </w:p>
    <w:p>
      <w:pPr>
        <w:pStyle w:val="Heading3"/>
      </w:pPr>
      <w:r>
        <w:rPr>
          <w:rFonts w:ascii="Times New Roman" w:hAnsi="Times New Roman"/>
        </w:rPr>
        <w:t>3.1 Prüfmaßstab</w:t>
      </w:r>
    </w:p>
    <w:p>
      <w:pPr>
        <w:jc w:val="left"/>
      </w:pPr>
      <w:r>
        <w:t>Nach § 55 AWV ist der Erwerb von 10 % oder mehr der Stimmrechte an einem deutschen Unternehmen durch einen Investor aus einem Nicht-EU-/Nicht-EWR-/Nicht-CANZUK-Staat anmeldepflichtig, wenn das Zielunternehmen in einem sensiblen Sektor tätig ist (§§ 55a ff. AWV, Anlage I zum AWG). Für EU-Investoren gilt seit dem AWG-Änderungsgesetz 2022 die erweiterte Prüfung für kritische Infrastruktur und Dual-Use.</w:t>
      </w:r>
    </w:p>
    <w:p>
      <w:pPr>
        <w:pStyle w:val="Heading3"/>
      </w:pPr>
      <w:r>
        <w:rPr>
          <w:rFonts w:ascii="Times New Roman" w:hAnsi="Times New Roman"/>
        </w:rPr>
        <w:t>3.2 Investorenstatus</w:t>
      </w:r>
    </w:p>
    <w:p>
      <w:pPr>
        <w:jc w:val="left"/>
      </w:pPr>
      <w:r>
        <w:t>Eagle Capital Partners Fund V GmbH &amp; Co. KG ist nach Deutschland gegründet; Fondsmanager Eagle Capital Partners LLC ist US-amerikanisch. Maßgebliche Frage: Wer ist wirtschaftlich Berechtigter (UBO) der Erwerberin? Bei LP-Basis mit US-amerikanischen Investoren greift die AWV-Prüfung auch bei formell deutschem Erwerbervehikel, wenn die letztlich kontrollierende Partei außerhalb der EU liegt.</w:t>
      </w:r>
    </w:p>
    <w:p>
      <w:pPr>
        <w:jc w:val="left"/>
      </w:pPr>
      <w:r>
        <w:rPr>
          <w:b/>
        </w:rPr>
        <w:t>Status:</w:t>
      </w:r>
      <w:r>
        <w:t xml:space="preserve"> UBO-Analyse bei Eagle liegt als Draft vor (Anlage FDI-UBO-Draft.pdf). Finale Bestätigung durch Eagle Counsel ausstehend (Deadline: 01.06.2026).</w:t>
      </w:r>
    </w:p>
    <w:p>
      <w:pPr>
        <w:pStyle w:val="Heading3"/>
      </w:pPr>
      <w:r>
        <w:rPr>
          <w:rFonts w:ascii="Times New Roman" w:hAnsi="Times New Roman"/>
        </w:rPr>
        <w:t>3.3 Sektoreinstufung Solaris Industries AG</w:t>
      </w:r>
    </w:p>
    <w:p>
      <w:pPr>
        <w:jc w:val="left"/>
      </w:pPr>
      <w:r>
        <w:t>Solaris Industries AG produziert Präzisionskomponenten für die Luft- und Raumfahrtbranche sowie Antriebseinheiten für militärische und zivile Schiffe. Dies fällt potenziell unter:</w:t>
      </w:r>
    </w:p>
    <w:p>
      <w:pPr>
        <w:pStyle w:val="ListBullet"/>
      </w:pPr>
      <w:r>
        <w:t>§ 55a Abs. 1 Nr. 9 AWV (Rüstungsgüter, Dual-Use)</w:t>
      </w:r>
    </w:p>
    <w:p>
      <w:pPr>
        <w:pStyle w:val="ListBullet"/>
      </w:pPr>
      <w:r>
        <w:t>§ 55a Abs. 1 Nr. 17 AWV (kritische Infrastruktur)</w:t>
      </w:r>
    </w:p>
    <w:p>
      <w:pPr>
        <w:jc w:val="left"/>
      </w:pPr>
      <w:r>
        <w:rPr>
          <w:b/>
        </w:rPr>
        <w:t>Empfehlung:</w:t>
      </w:r>
      <w:r>
        <w:t xml:space="preserve"> Sektorscreening ergibt erhöhte FDI-Relevanz. Anmeldung beim Bundesministerium für Wirtschaft und Klimaschutz (BMWK) nach § 58 AWV ist vorsorglich einzuplanen. Prüffrist: 2 Monate ab vollständiger Anmeldung, verlängerbar auf 4 Monate.</w:t>
      </w:r>
    </w:p>
    <w:p>
      <w:pPr>
        <w:jc w:val="left"/>
      </w:pPr>
      <w:r>
        <w:rPr>
          <w:b/>
        </w:rPr>
        <w:t>Closing-Risiko:</w:t>
      </w:r>
      <w:r>
        <w:t xml:space="preserve"> Falls US-UBOs die Schwelle nach § 56 AWV überschreiten, ist mit Hauptprüfphase zu rechnen. Closing-Long-Stop-Date im SPA entsprechend auf 31.12.2026 gesetzt.</w:t>
      </w:r>
    </w:p>
    <w:p/>
    <w:p>
      <w:pPr>
        <w:pStyle w:val="Heading2"/>
      </w:pPr>
      <w:r>
        <w:rPr>
          <w:rFonts w:ascii="Times New Roman" w:hAnsi="Times New Roman"/>
        </w:rPr>
        <w:t>4. Exportkontrolle / Clean Room</w:t>
      </w:r>
    </w:p>
    <w:p>
      <w:pPr>
        <w:jc w:val="left"/>
      </w:pPr>
      <w:r>
        <w:t>Solaris fertigt Güter, die voraussichtlich unter die EU-Dual-Use-Verordnung (VO 2021/821) und ggf. das KrWaffG fallen. Folgende Sondermaßnahmen sind aktiv: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Clean-Room-Protokoll für technische Informationen im DR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aktiv seit 10.04.2026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Exportkontroll-Screening der DD-Unterlagen durch Specialist Counsel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Offenlegungsbeschränkung gegenüber Eagle-LPs mit Nexus CN/RU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vereinbart (NDAs)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ITAR-Self-Assessment (US-Komponenten in Produkten)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angefordert, Rücklauf 01.06.2026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Sektorspezifische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Genehmigungserfordernis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Fusionskontrollfreigabe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30.07.2026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AWV-Unbedenklichkeit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Exportkontrollsonderprüfung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Niedrig–Mittel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30.08.2026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Österreich (BWB)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separate Anmeldung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Nächste Schritte</w:t>
      </w:r>
    </w:p>
    <w:p>
      <w:pPr>
        <w:pStyle w:val="ListNumber"/>
      </w:pPr>
      <w:r>
        <w:t>Umsatzzahlen GJ 2025 final anfordern (Deadline: 22.05.2026)</w:t>
      </w:r>
    </w:p>
    <w:p>
      <w:pPr>
        <w:pStyle w:val="ListNumber"/>
      </w:pPr>
      <w:r>
        <w:t>UBO-Bestätigung Eagle einholen (01.06.2026)</w:t>
      </w:r>
    </w:p>
    <w:p>
      <w:pPr>
        <w:pStyle w:val="ListNumber"/>
      </w:pPr>
      <w:r>
        <w:t>BKartA-Anmeldungspaket vorbereiten: Marktdefinition, Marktanteile, Umsatzbescheinigungen</w:t>
      </w:r>
    </w:p>
    <w:p>
      <w:pPr>
        <w:pStyle w:val="ListNumber"/>
      </w:pPr>
      <w:r>
        <w:t>BMWK-Vorgespräch anfragen (vertraulich)</w:t>
      </w:r>
    </w:p>
    <w:p>
      <w:pPr>
        <w:pStyle w:val="ListNumber"/>
      </w:pPr>
      <w:r>
        <w:t>Closing-Bedingungsmatrix mit Regulatory-CP verknüpfen</w:t>
      </w:r>
    </w:p>
    <w:p/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Bullet"/>
      </w:pPr>
      <w:r>
        <w:t>Anlage 1: Umsatztabelle Konsolidierung (Entwurf)</w:t>
      </w:r>
    </w:p>
    <w:p>
      <w:pPr>
        <w:pStyle w:val="ListBullet"/>
      </w:pPr>
      <w:r>
        <w:t>Anlage 2: UBO-Chart Eagle Capital Partners (Draft)</w:t>
      </w:r>
    </w:p>
    <w:p>
      <w:pPr>
        <w:pStyle w:val="ListBullet"/>
      </w:pPr>
      <w:r>
        <w:t>Anlage 3: Sektorchecklist AWV § 55a</w:t>
      </w:r>
    </w:p>
    <w:p>
      <w:pPr>
        <w:pStyle w:val="ListBullet"/>
      </w:pPr>
      <w:r>
        <w:t>Anlage 4: Clean-Room-Protokoll V2.1</w:t>
      </w:r>
    </w:p>
    <w:p/>
    <w:p>
      <w:pPr>
        <w:jc w:val="left"/>
      </w:pPr>
      <w:r>
        <w:rPr>
          <w:i/>
        </w:rPr>
        <w:t>Aktenvermerk-Nr.: AV-REG-2026-003 | Privileged &amp; Confidential — Attorney-Client Communication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