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MAR-Präventiv-Memo — Marktmissbrauchsrecht bei Projekt Silberfalke</w:t>
      </w:r>
    </w:p>
    <w:p>
      <w:pPr>
        <w:jc w:val="left"/>
      </w:pPr>
      <w:r>
        <w:rPr>
          <w:b/>
        </w:rPr>
        <w:t>Aktenzeichen:</w:t>
      </w:r>
      <w:r>
        <w:t xml:space="preserve"> MA-2026-SF-001</w:t>
      </w:r>
    </w:p>
    <w:p>
      <w:pPr>
        <w:jc w:val="left"/>
      </w:pPr>
      <w:r>
        <w:rPr>
          <w:b/>
        </w:rPr>
        <w:t>Erstellt:</w:t>
      </w:r>
      <w:r>
        <w:t xml:space="preserve"> 15.05.2026</w:t>
      </w:r>
    </w:p>
    <w:p>
      <w:pPr>
        <w:jc w:val="left"/>
      </w:pPr>
      <w:r>
        <w:rPr>
          <w:b/>
        </w:rPr>
        <w:t>Verfasser:</w:t>
      </w:r>
      <w:r>
        <w:t xml:space="preserve"> Dr. Kessler (Kapitalmarktrecht)</w:t>
      </w:r>
    </w:p>
    <w:p>
      <w:pPr>
        <w:jc w:val="left"/>
      </w:pPr>
      <w:r>
        <w:rPr>
          <w:b/>
        </w:rPr>
        <w:t>Adressat:</w:t>
      </w:r>
      <w:r>
        <w:t xml:space="preserve"> Deal Team / Eagle Capital Partners Fund V</w:t>
      </w:r>
    </w:p>
    <w:p>
      <w:pPr>
        <w:jc w:val="left"/>
      </w:pPr>
      <w:r>
        <w:rPr>
          <w:b/>
        </w:rPr>
        <w:t>Status:</w:t>
      </w:r>
      <w:r>
        <w:t xml:space="preserve"> Arbeitsfassung — nicht final</w:t>
      </w:r>
    </w:p>
    <w:p/>
    <w:p>
      <w:pPr>
        <w:pStyle w:val="Heading2"/>
      </w:pPr>
      <w:r>
        <w:rPr>
          <w:rFonts w:ascii="Times New Roman" w:hAnsi="Times New Roman"/>
        </w:rPr>
        <w:t>1. Ausgangslage</w:t>
      </w:r>
    </w:p>
    <w:p>
      <w:pPr>
        <w:jc w:val="left"/>
      </w:pPr>
      <w:r>
        <w:t xml:space="preserve">Solaris Industries AG ist nicht börsennotiert. Die Käuferin Eagle Capital Partners Fund V GmbH &amp; Co. KG ist eine nicht börsennotierte PE-Gesellschaft. </w:t>
      </w:r>
      <w:r>
        <w:rPr>
          <w:b/>
        </w:rPr>
        <w:t>Die EU-Marktmissbrauchsverordnung (MAR, Verordnung EU 596/2014) ist auf die Transaktion selbst grundsätzlich nicht anwendbar</w:t>
      </w:r>
      <w:r>
        <w:t>, da kein Finanzinstrument i.S.d. Art. 3 MAR betroffen ist.</w:t>
      </w:r>
    </w:p>
    <w:p>
      <w:pPr>
        <w:jc w:val="left"/>
      </w:pPr>
      <w:r>
        <w:t>Dieses Memo analysiert jedoch drei Szenarien, in denen MAR-Fragen gleichwohl relevant werden können:</w:t>
      </w:r>
    </w:p>
    <w:p>
      <w:pPr>
        <w:pStyle w:val="ListNumber"/>
      </w:pPr>
      <w:r>
        <w:t>Eagle-LPs oder Co-Investoren sind börsennotierte Gesellschaften</w:t>
      </w:r>
    </w:p>
    <w:p>
      <w:pPr>
        <w:pStyle w:val="ListNumber"/>
      </w:pPr>
      <w:r>
        <w:t>Finanzierungsbanken haben börsennotierte Schuldverschreibungen ausstehend</w:t>
      </w:r>
    </w:p>
    <w:p>
      <w:pPr>
        <w:pStyle w:val="ListNumber"/>
      </w:pPr>
      <w:r>
        <w:t>Konzernobergesellschaft des Verkäufers (Nordstern Beteiligungs SE) ist börsennotiert</w:t>
      </w:r>
    </w:p>
    <w:p/>
    <w:p>
      <w:pPr>
        <w:pStyle w:val="Heading2"/>
      </w:pPr>
      <w:r>
        <w:rPr>
          <w:rFonts w:ascii="Times New Roman" w:hAnsi="Times New Roman"/>
        </w:rPr>
        <w:t>2. Nordstern Beteiligungs SE — Börsennotierte Verkäuferin</w:t>
      </w:r>
    </w:p>
    <w:p>
      <w:pPr>
        <w:jc w:val="left"/>
      </w:pPr>
      <w:r>
        <w:t>Nordstern Beteiligungs SE (ISIN DE000NBS1234) ist am regulierten Markt der Frankfurter Wertpapierbörse notiert. Solaris Industries AG trägt nach Konzernstruktur ca. 22 % zum Konzern-EBITDA bei. Damit ist der Verkauf der Solaris-Beteiligung eine potenziell kursrelevante Information i.S.v. Art. 7 MAR.</w:t>
      </w:r>
    </w:p>
    <w:p>
      <w:pPr>
        <w:pStyle w:val="Heading3"/>
      </w:pPr>
      <w:r>
        <w:rPr>
          <w:rFonts w:ascii="Times New Roman" w:hAnsi="Times New Roman"/>
        </w:rPr>
        <w:t>2.1 Prüfung: Liegt eine Insiderinformation vor?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Kriterium</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Präzise Information</w:t>
            </w:r>
          </w:p>
        </w:tc>
        <w:tc>
          <w:tcPr>
            <w:tcW w:type="dxa" w:w="4536"/>
          </w:tcPr>
          <w:p>
            <w:r>
              <w:rPr>
                <w:rFonts w:ascii="Times New Roman" w:hAnsi="Times New Roman"/>
                <w:sz w:val="20"/>
              </w:rPr>
              <w:t>Ja: Unterzeichneter SPA mit definiertem EV</w:t>
            </w:r>
          </w:p>
        </w:tc>
      </w:tr>
      <w:tr>
        <w:tc>
          <w:tcPr>
            <w:tcW w:type="dxa" w:w="4536"/>
          </w:tcPr>
          <w:p>
            <w:r>
              <w:rPr>
                <w:rFonts w:ascii="Times New Roman" w:hAnsi="Times New Roman"/>
                <w:sz w:val="20"/>
              </w:rPr>
              <w:t>Nichtöffentlich</w:t>
            </w:r>
          </w:p>
        </w:tc>
        <w:tc>
          <w:tcPr>
            <w:tcW w:type="dxa" w:w="4536"/>
          </w:tcPr>
          <w:p>
            <w:r>
              <w:rPr>
                <w:rFonts w:ascii="Times New Roman" w:hAnsi="Times New Roman"/>
                <w:sz w:val="20"/>
              </w:rPr>
              <w:t>Ja: Nur Deal Team / Vertragsparteien</w:t>
            </w:r>
          </w:p>
        </w:tc>
      </w:tr>
      <w:tr>
        <w:tc>
          <w:tcPr>
            <w:tcW w:type="dxa" w:w="4536"/>
          </w:tcPr>
          <w:p>
            <w:r>
              <w:rPr>
                <w:rFonts w:ascii="Times New Roman" w:hAnsi="Times New Roman"/>
                <w:sz w:val="20"/>
              </w:rPr>
              <w:t>Direkte oder indirekte Emission</w:t>
            </w:r>
          </w:p>
        </w:tc>
        <w:tc>
          <w:tcPr>
            <w:tcW w:type="dxa" w:w="4536"/>
          </w:tcPr>
          <w:p>
            <w:r>
              <w:rPr>
                <w:rFonts w:ascii="Times New Roman" w:hAnsi="Times New Roman"/>
                <w:sz w:val="20"/>
              </w:rPr>
              <w:t>Nordstern SE: direkt betroffen</w:t>
            </w:r>
          </w:p>
        </w:tc>
      </w:tr>
      <w:tr>
        <w:tc>
          <w:tcPr>
            <w:tcW w:type="dxa" w:w="4536"/>
          </w:tcPr>
          <w:p>
            <w:r>
              <w:rPr>
                <w:rFonts w:ascii="Times New Roman" w:hAnsi="Times New Roman"/>
                <w:sz w:val="20"/>
              </w:rPr>
              <w:t>Erhebliche Kursrelevanz</w:t>
            </w:r>
          </w:p>
        </w:tc>
        <w:tc>
          <w:tcPr>
            <w:tcW w:type="dxa" w:w="4536"/>
          </w:tcPr>
          <w:p>
            <w:r>
              <w:rPr>
                <w:rFonts w:ascii="Times New Roman" w:hAnsi="Times New Roman"/>
                <w:sz w:val="20"/>
              </w:rPr>
              <w:t>Plausibel (22 % Konzern-EBITDA)</w:t>
            </w:r>
          </w:p>
        </w:tc>
      </w:tr>
    </w:tbl>
    <w:p>
      <w:pPr>
        <w:jc w:val="left"/>
      </w:pPr>
      <w:r>
        <w:rPr>
          <w:b/>
        </w:rPr>
        <w:t>Ergebnis:</w:t>
      </w:r>
      <w:r>
        <w:t xml:space="preserve"> Es besteht erheblicher Anhaltspunkt für eine Insiderinformation nach Art. 7 MAR ab Signing (15.05.2026).</w:t>
      </w:r>
    </w:p>
    <w:p>
      <w:pPr>
        <w:pStyle w:val="Heading3"/>
      </w:pPr>
      <w:r>
        <w:rPr>
          <w:rFonts w:ascii="Times New Roman" w:hAnsi="Times New Roman"/>
        </w:rPr>
        <w:t>2.2 Aufschub der Ad-hoc-Veröffentlichung</w:t>
      </w:r>
    </w:p>
    <w:p>
      <w:pPr>
        <w:jc w:val="left"/>
      </w:pPr>
      <w:r>
        <w:t>Nordstern kann den Aufschub der Ad-hoc-Mitteilung nach Art. 17 Abs. 4 MAR beantragen, wenn:</w:t>
      </w:r>
    </w:p>
    <w:p>
      <w:pPr>
        <w:pStyle w:val="ListBullet"/>
      </w:pPr>
      <w:r>
        <w:t>Berechtigte Interessen an Geheimhaltung bestehen (z.B. Vertragsschutz)</w:t>
      </w:r>
    </w:p>
    <w:p>
      <w:pPr>
        <w:pStyle w:val="ListBullet"/>
      </w:pPr>
      <w:r>
        <w:t>Geheimhaltung nicht irreführend ist</w:t>
      </w:r>
    </w:p>
    <w:p>
      <w:pPr>
        <w:pStyle w:val="ListBullet"/>
      </w:pPr>
      <w:r>
        <w:t>Vertraulichkeit sichergestellt ist (Insiderliste geführt)</w:t>
      </w:r>
    </w:p>
    <w:p>
      <w:pPr>
        <w:jc w:val="left"/>
      </w:pPr>
      <w:r>
        <w:rPr>
          <w:b/>
        </w:rPr>
        <w:t>Empfehlung:</w:t>
      </w:r>
      <w:r>
        <w:t xml:space="preserve"> Nordstern IR sollte unverzüglich Aufschubentscheidung dokumentieren und Insiderliste anlegen. Aufschub endet spätestens bei Closing oder Undichtigkeit.</w:t>
      </w:r>
    </w:p>
    <w:p/>
    <w:p>
      <w:pPr>
        <w:pStyle w:val="Heading2"/>
      </w:pPr>
      <w:r>
        <w:rPr>
          <w:rFonts w:ascii="Times New Roman" w:hAnsi="Times New Roman"/>
        </w:rPr>
        <w:t>3. Insiderliste — Mindestanforderungen</w:t>
      </w:r>
    </w:p>
    <w:p>
      <w:pPr>
        <w:jc w:val="left"/>
      </w:pPr>
      <w:r>
        <w:t>Nordstern muss nach Art. 18 MAR eine Insiderliste führen. Pflichtelemente: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Pflichtangaben</w:t>
            </w:r>
          </w:p>
        </w:tc>
      </w:tr>
      <w:tr>
        <w:tc>
          <w:tcPr>
            <w:tcW w:type="dxa" w:w="4536"/>
          </w:tcPr>
          <w:p>
            <w:r>
              <w:rPr>
                <w:rFonts w:ascii="Times New Roman" w:hAnsi="Times New Roman"/>
                <w:sz w:val="20"/>
              </w:rPr>
              <w:t>Jede Person mit Zugang</w:t>
            </w:r>
          </w:p>
        </w:tc>
        <w:tc>
          <w:tcPr>
            <w:tcW w:type="dxa" w:w="4536"/>
          </w:tcPr>
          <w:p>
            <w:r>
              <w:rPr>
                <w:rFonts w:ascii="Times New Roman" w:hAnsi="Times New Roman"/>
                <w:sz w:val="20"/>
              </w:rPr>
              <w:t>Vollständiger Name, Funktion, Zugangsgrund, Zugangsdatum</w:t>
            </w:r>
          </w:p>
        </w:tc>
      </w:tr>
      <w:tr>
        <w:tc>
          <w:tcPr>
            <w:tcW w:type="dxa" w:w="4536"/>
          </w:tcPr>
          <w:p>
            <w:r>
              <w:rPr>
                <w:rFonts w:ascii="Times New Roman" w:hAnsi="Times New Roman"/>
                <w:sz w:val="20"/>
              </w:rPr>
              <w:t>Aktualisierung</w:t>
            </w:r>
          </w:p>
        </w:tc>
        <w:tc>
          <w:tcPr>
            <w:tcW w:type="dxa" w:w="4536"/>
          </w:tcPr>
          <w:p>
            <w:r>
              <w:rPr>
                <w:rFonts w:ascii="Times New Roman" w:hAnsi="Times New Roman"/>
                <w:sz w:val="20"/>
              </w:rPr>
              <w:t>Bei jeder Änderung, spätestens nach 5 Tagen</w:t>
            </w:r>
          </w:p>
        </w:tc>
      </w:tr>
      <w:tr>
        <w:tc>
          <w:tcPr>
            <w:tcW w:type="dxa" w:w="4536"/>
          </w:tcPr>
          <w:p>
            <w:r>
              <w:rPr>
                <w:rFonts w:ascii="Times New Roman" w:hAnsi="Times New Roman"/>
                <w:sz w:val="20"/>
              </w:rPr>
              <w:t>Aufbewahrung</w:t>
            </w:r>
          </w:p>
        </w:tc>
        <w:tc>
          <w:tcPr>
            <w:tcW w:type="dxa" w:w="4536"/>
          </w:tcPr>
          <w:p>
            <w:r>
              <w:rPr>
                <w:rFonts w:ascii="Times New Roman" w:hAnsi="Times New Roman"/>
                <w:sz w:val="20"/>
              </w:rPr>
              <w:t>Mindestens 5 Jahre nach Listing-Entfernung</w:t>
            </w:r>
          </w:p>
        </w:tc>
      </w:tr>
      <w:tr>
        <w:tc>
          <w:tcPr>
            <w:tcW w:type="dxa" w:w="4536"/>
          </w:tcPr>
          <w:p>
            <w:r>
              <w:rPr>
                <w:rFonts w:ascii="Times New Roman" w:hAnsi="Times New Roman"/>
                <w:sz w:val="20"/>
              </w:rPr>
              <w:t>Format</w:t>
            </w:r>
          </w:p>
        </w:tc>
        <w:tc>
          <w:tcPr>
            <w:tcW w:type="dxa" w:w="4536"/>
          </w:tcPr>
          <w:p>
            <w:r>
              <w:rPr>
                <w:rFonts w:ascii="Times New Roman" w:hAnsi="Times New Roman"/>
                <w:sz w:val="20"/>
              </w:rPr>
              <w:t>Gem. Anhang I Durchführungsverordnung EU 2016/347</w:t>
            </w:r>
          </w:p>
        </w:tc>
      </w:tr>
    </w:tbl>
    <w:p>
      <w:pPr>
        <w:jc w:val="left"/>
      </w:pPr>
      <w:r>
        <w:rPr>
          <w:b/>
        </w:rPr>
        <w:t>Personen im vorliegenden Verfahren mit Insiderstatus (Auswahl):</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Name</w:t>
            </w:r>
          </w:p>
        </w:tc>
        <w:tc>
          <w:tcPr>
            <w:tcW w:type="dxa" w:w="3024"/>
          </w:tcPr>
          <w:p>
            <w:r>
              <w:rPr>
                <w:rFonts w:ascii="Times New Roman" w:hAnsi="Times New Roman"/>
                <w:b/>
                <w:sz w:val="20"/>
              </w:rPr>
              <w:t>Funktion</w:t>
            </w:r>
          </w:p>
        </w:tc>
        <w:tc>
          <w:tcPr>
            <w:tcW w:type="dxa" w:w="3024"/>
          </w:tcPr>
          <w:p>
            <w:r>
              <w:rPr>
                <w:rFonts w:ascii="Times New Roman" w:hAnsi="Times New Roman"/>
                <w:b/>
                <w:sz w:val="20"/>
              </w:rPr>
              <w:t>Zugangsdatum</w:t>
            </w:r>
          </w:p>
        </w:tc>
      </w:tr>
      <w:tr>
        <w:tc>
          <w:tcPr>
            <w:tcW w:type="dxa" w:w="3024"/>
          </w:tcPr>
          <w:p>
            <w:r>
              <w:rPr>
                <w:rFonts w:ascii="Times New Roman" w:hAnsi="Times New Roman"/>
                <w:sz w:val="20"/>
              </w:rPr>
              <w:t>Dr. Vogel</w:t>
            </w:r>
          </w:p>
        </w:tc>
        <w:tc>
          <w:tcPr>
            <w:tcW w:type="dxa" w:w="3024"/>
          </w:tcPr>
          <w:p>
            <w:r>
              <w:rPr>
                <w:rFonts w:ascii="Times New Roman" w:hAnsi="Times New Roman"/>
                <w:sz w:val="20"/>
              </w:rPr>
              <w:t>GF Eagle Fund V</w:t>
            </w:r>
          </w:p>
        </w:tc>
        <w:tc>
          <w:tcPr>
            <w:tcW w:type="dxa" w:w="3024"/>
          </w:tcPr>
          <w:p>
            <w:r>
              <w:rPr>
                <w:rFonts w:ascii="Times New Roman" w:hAnsi="Times New Roman"/>
                <w:sz w:val="20"/>
              </w:rPr>
              <w:t>01.04.2026</w:t>
            </w:r>
          </w:p>
        </w:tc>
      </w:tr>
      <w:tr>
        <w:tc>
          <w:tcPr>
            <w:tcW w:type="dxa" w:w="3024"/>
          </w:tcPr>
          <w:p>
            <w:r>
              <w:rPr>
                <w:rFonts w:ascii="Times New Roman" w:hAnsi="Times New Roman"/>
                <w:sz w:val="20"/>
              </w:rPr>
              <w:t>Vorstand Ritter</w:t>
            </w:r>
          </w:p>
        </w:tc>
        <w:tc>
          <w:tcPr>
            <w:tcW w:type="dxa" w:w="3024"/>
          </w:tcPr>
          <w:p>
            <w:r>
              <w:rPr>
                <w:rFonts w:ascii="Times New Roman" w:hAnsi="Times New Roman"/>
                <w:sz w:val="20"/>
              </w:rPr>
              <w:t>Nordstern SE</w:t>
            </w:r>
          </w:p>
        </w:tc>
        <w:tc>
          <w:tcPr>
            <w:tcW w:type="dxa" w:w="3024"/>
          </w:tcPr>
          <w:p>
            <w:r>
              <w:rPr>
                <w:rFonts w:ascii="Times New Roman" w:hAnsi="Times New Roman"/>
                <w:sz w:val="20"/>
              </w:rPr>
              <w:t>01.04.2026</w:t>
            </w:r>
          </w:p>
        </w:tc>
      </w:tr>
      <w:tr>
        <w:tc>
          <w:tcPr>
            <w:tcW w:type="dxa" w:w="3024"/>
          </w:tcPr>
          <w:p>
            <w:r>
              <w:rPr>
                <w:rFonts w:ascii="Times New Roman" w:hAnsi="Times New Roman"/>
                <w:sz w:val="20"/>
              </w:rPr>
              <w:t>Partner A</w:t>
            </w:r>
          </w:p>
        </w:tc>
        <w:tc>
          <w:tcPr>
            <w:tcW w:type="dxa" w:w="3024"/>
          </w:tcPr>
          <w:p>
            <w:r>
              <w:rPr>
                <w:rFonts w:ascii="Times New Roman" w:hAnsi="Times New Roman"/>
                <w:sz w:val="20"/>
              </w:rPr>
              <w:t>Kanzlei</w:t>
            </w:r>
          </w:p>
        </w:tc>
        <w:tc>
          <w:tcPr>
            <w:tcW w:type="dxa" w:w="3024"/>
          </w:tcPr>
          <w:p>
            <w:r>
              <w:rPr>
                <w:rFonts w:ascii="Times New Roman" w:hAnsi="Times New Roman"/>
                <w:sz w:val="20"/>
              </w:rPr>
              <w:t>01.04.2026</w:t>
            </w:r>
          </w:p>
        </w:tc>
      </w:tr>
      <w:tr>
        <w:tc>
          <w:tcPr>
            <w:tcW w:type="dxa" w:w="3024"/>
          </w:tcPr>
          <w:p>
            <w:r>
              <w:rPr>
                <w:rFonts w:ascii="Times New Roman" w:hAnsi="Times New Roman"/>
                <w:sz w:val="20"/>
              </w:rPr>
              <w:t>Counsel B</w:t>
            </w:r>
          </w:p>
        </w:tc>
        <w:tc>
          <w:tcPr>
            <w:tcW w:type="dxa" w:w="3024"/>
          </w:tcPr>
          <w:p>
            <w:r>
              <w:rPr>
                <w:rFonts w:ascii="Times New Roman" w:hAnsi="Times New Roman"/>
                <w:sz w:val="20"/>
              </w:rPr>
              <w:t>Kanzlei</w:t>
            </w:r>
          </w:p>
        </w:tc>
        <w:tc>
          <w:tcPr>
            <w:tcW w:type="dxa" w:w="3024"/>
          </w:tcPr>
          <w:p>
            <w:r>
              <w:rPr>
                <w:rFonts w:ascii="Times New Roman" w:hAnsi="Times New Roman"/>
                <w:sz w:val="20"/>
              </w:rPr>
              <w:t>10.04.2026</w:t>
            </w:r>
          </w:p>
        </w:tc>
      </w:tr>
      <w:tr>
        <w:tc>
          <w:tcPr>
            <w:tcW w:type="dxa" w:w="3024"/>
          </w:tcPr>
          <w:p>
            <w:r>
              <w:rPr>
                <w:rFonts w:ascii="Times New Roman" w:hAnsi="Times New Roman"/>
                <w:sz w:val="20"/>
              </w:rPr>
              <w:t>Dr. Kessler</w:t>
            </w:r>
          </w:p>
        </w:tc>
        <w:tc>
          <w:tcPr>
            <w:tcW w:type="dxa" w:w="3024"/>
          </w:tcPr>
          <w:p>
            <w:r>
              <w:rPr>
                <w:rFonts w:ascii="Times New Roman" w:hAnsi="Times New Roman"/>
                <w:sz w:val="20"/>
              </w:rPr>
              <w:t>Kanzlei (Kapitalmarkt)</w:t>
            </w:r>
          </w:p>
        </w:tc>
        <w:tc>
          <w:tcPr>
            <w:tcW w:type="dxa" w:w="3024"/>
          </w:tcPr>
          <w:p>
            <w:r>
              <w:rPr>
                <w:rFonts w:ascii="Times New Roman" w:hAnsi="Times New Roman"/>
                <w:sz w:val="20"/>
              </w:rPr>
              <w:t>15.05.2026</w:t>
            </w:r>
          </w:p>
        </w:tc>
      </w:tr>
      <w:tr>
        <w:tc>
          <w:tcPr>
            <w:tcW w:type="dxa" w:w="3024"/>
          </w:tcPr>
          <w:p>
            <w:r>
              <w:rPr>
                <w:rFonts w:ascii="Times New Roman" w:hAnsi="Times New Roman"/>
                <w:sz w:val="20"/>
              </w:rPr>
              <w:t>CFO Fischer</w:t>
            </w:r>
          </w:p>
        </w:tc>
        <w:tc>
          <w:tcPr>
            <w:tcW w:type="dxa" w:w="3024"/>
          </w:tcPr>
          <w:p>
            <w:r>
              <w:rPr>
                <w:rFonts w:ascii="Times New Roman" w:hAnsi="Times New Roman"/>
                <w:sz w:val="20"/>
              </w:rPr>
              <w:t>Solaris AG</w:t>
            </w:r>
          </w:p>
        </w:tc>
        <w:tc>
          <w:tcPr>
            <w:tcW w:type="dxa" w:w="3024"/>
          </w:tcPr>
          <w:p>
            <w:r>
              <w:rPr>
                <w:rFonts w:ascii="Times New Roman" w:hAnsi="Times New Roman"/>
                <w:sz w:val="20"/>
              </w:rPr>
              <w:t>15.05.2026</w:t>
            </w:r>
          </w:p>
        </w:tc>
      </w:tr>
    </w:tbl>
    <w:p>
      <w:pPr>
        <w:jc w:val="left"/>
      </w:pPr>
      <w:r>
        <w:rPr>
          <w:i/>
        </w:rPr>
        <w:t>Vollständige Liste bei Nordstern Compliance-Abteilung.</w:t>
      </w:r>
    </w:p>
    <w:p/>
    <w:p>
      <w:pPr>
        <w:pStyle w:val="Heading2"/>
      </w:pPr>
      <w:r>
        <w:rPr>
          <w:rFonts w:ascii="Times New Roman" w:hAnsi="Times New Roman"/>
        </w:rPr>
        <w:t>4. Ad-hoc-Mitteilungsentwurf (Bereitschaft nach Closing)</w:t>
      </w:r>
    </w:p>
    <w:p>
      <w:pPr>
        <w:jc w:val="left"/>
      </w:pPr>
      <w:r>
        <w:t>Nordstern IR hat folgenden Textentwurf vorbereitet (nach Closing zu veröffentlichen, spätestens 30 Minuten nach Vollzug):</w:t>
      </w:r>
    </w:p>
    <w:p>
      <w:pPr>
        <w:ind w:left="567"/>
      </w:pPr>
      <w:r>
        <w:rPr>
          <w:b/>
          <w:i/>
        </w:rPr>
        <w:t>Ad-hoc-Mitteilung nach Art. 17 MAR</w:t>
      </w:r>
    </w:p>
    <w:p>
      <w:pPr>
        <w:ind w:left="567"/>
      </w:pPr>
    </w:p>
    <w:p>
      <w:pPr>
        <w:ind w:left="567"/>
      </w:pPr>
      <w:r>
        <w:rPr>
          <w:i/>
        </w:rPr>
        <w:t>Nordstern Beteiligungs SE, Hamburg — [Datum]</w:t>
      </w:r>
    </w:p>
    <w:p>
      <w:pPr>
        <w:ind w:left="567"/>
      </w:pPr>
    </w:p>
    <w:p>
      <w:pPr>
        <w:ind w:left="567"/>
      </w:pPr>
      <w:r>
        <w:rPr>
          <w:i/>
        </w:rPr>
        <w:t>Die Nordstern Beteiligungs SE hat heute sämtliche Anteile an der Solaris Industries AG mit Sitz in Düsseldorf an Eagle Capital Partners Fund V GmbH &amp; Co. KG veräußert. Der Transaktionswert beläuft sich auf einen Enterprise Value von EUR 180 Millionen, vorbehaltlich der üblichen Kaufpreisanpassungen. Der Abschluss der Transaktion stand unter dem Vorbehalt behördlicher Genehmigungen, die heute vollständig erteilt wurden.</w:t>
      </w:r>
    </w:p>
    <w:p>
      <w:pPr>
        <w:ind w:left="567"/>
      </w:pPr>
    </w:p>
    <w:p>
      <w:pPr>
        <w:ind w:left="567"/>
      </w:pPr>
      <w:r>
        <w:rPr>
          <w:i/>
        </w:rPr>
        <w:t>Solaris Industries AG erzielte im Geschäftsjahr 2025 einen Umsatz von EUR 143 Millionen und ein EBITDA von EUR 21 Millionen. Der Erlös aus der Transaktion wird zur Stärkung der Eigenkapitalbasis und für strategische Investitionen verwendet.</w:t>
      </w:r>
    </w:p>
    <w:p>
      <w:pPr>
        <w:ind w:left="567"/>
      </w:pPr>
    </w:p>
    <w:p>
      <w:pPr>
        <w:ind w:left="567"/>
      </w:pPr>
      <w:r>
        <w:rPr>
          <w:i/>
        </w:rPr>
        <w:t>Ende der Ad-hoc-Mitteilung.</w:t>
      </w:r>
    </w:p>
    <w:p/>
    <w:p>
      <w:pPr>
        <w:pStyle w:val="Heading2"/>
      </w:pPr>
      <w:r>
        <w:rPr>
          <w:rFonts w:ascii="Times New Roman" w:hAnsi="Times New Roman"/>
        </w:rPr>
        <w:t>5. Handelsverbote / Sperrzeiten</w:t>
      </w:r>
    </w:p>
    <w:p>
      <w:pPr>
        <w:jc w:val="left"/>
      </w:pPr>
      <w:r>
        <w:t>Personen auf der Insiderliste sind nach Art. 8 und 14 MAR von jeglichem Handel in Nordstern-Aktien oder -Derivaten ausgeschlossen, solange sie Zugang zu der Insiderinformation haben. Verstöße können strafbar sein (§ 119 WpHG).</w:t>
      </w:r>
    </w:p>
    <w:p>
      <w:pPr>
        <w:jc w:val="left"/>
      </w:pPr>
      <w:r>
        <w:rPr>
          <w:b/>
        </w:rPr>
        <w:t>Hinweis an Deal-Team-Mitglieder:</w:t>
      </w:r>
      <w:r>
        <w:t xml:space="preserve"> Kein Handel in Wertpapieren der Nordstern Beteiligungs SE bis zur Veröffentlichung der Ad-hoc-Mitteilung.</w:t>
      </w:r>
    </w:p>
    <w:p/>
    <w:p>
      <w:pPr>
        <w:pStyle w:val="Heading2"/>
      </w:pPr>
      <w:r>
        <w:rPr>
          <w:rFonts w:ascii="Times New Roman" w:hAnsi="Times New Roman"/>
        </w:rPr>
        <w:t>6. MAR-Compliance-Checkliste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Status</w:t>
            </w:r>
          </w:p>
        </w:tc>
      </w:tr>
      <w:tr>
        <w:tc>
          <w:tcPr>
            <w:tcW w:type="dxa" w:w="2268"/>
          </w:tcPr>
          <w:p>
            <w:r>
              <w:rPr>
                <w:rFonts w:ascii="Times New Roman" w:hAnsi="Times New Roman"/>
                <w:sz w:val="20"/>
              </w:rPr>
              <w:t>M-01</w:t>
            </w:r>
          </w:p>
        </w:tc>
        <w:tc>
          <w:tcPr>
            <w:tcW w:type="dxa" w:w="2268"/>
          </w:tcPr>
          <w:p>
            <w:r>
              <w:rPr>
                <w:rFonts w:ascii="Times New Roman" w:hAnsi="Times New Roman"/>
                <w:sz w:val="20"/>
              </w:rPr>
              <w:t>Aufschubentscheidung dokumentieren (Art. 17 Abs. 4)</w:t>
            </w:r>
          </w:p>
        </w:tc>
        <w:tc>
          <w:tcPr>
            <w:tcW w:type="dxa" w:w="2268"/>
          </w:tcPr>
          <w:p>
            <w:r>
              <w:rPr>
                <w:rFonts w:ascii="Times New Roman" w:hAnsi="Times New Roman"/>
                <w:sz w:val="20"/>
              </w:rPr>
              <w:t>Nordstern IR + Dr. Kessler</w:t>
            </w:r>
          </w:p>
        </w:tc>
        <w:tc>
          <w:tcPr>
            <w:tcW w:type="dxa" w:w="2268"/>
          </w:tcPr>
          <w:p>
            <w:r>
              <w:rPr>
                <w:rFonts w:ascii="Times New Roman" w:hAnsi="Times New Roman"/>
                <w:sz w:val="20"/>
              </w:rPr>
              <w:t>Offen</w:t>
            </w:r>
          </w:p>
        </w:tc>
      </w:tr>
      <w:tr>
        <w:tc>
          <w:tcPr>
            <w:tcW w:type="dxa" w:w="2268"/>
          </w:tcPr>
          <w:p>
            <w:r>
              <w:rPr>
                <w:rFonts w:ascii="Times New Roman" w:hAnsi="Times New Roman"/>
                <w:sz w:val="20"/>
              </w:rPr>
              <w:t>M-02</w:t>
            </w:r>
          </w:p>
        </w:tc>
        <w:tc>
          <w:tcPr>
            <w:tcW w:type="dxa" w:w="2268"/>
          </w:tcPr>
          <w:p>
            <w:r>
              <w:rPr>
                <w:rFonts w:ascii="Times New Roman" w:hAnsi="Times New Roman"/>
                <w:sz w:val="20"/>
              </w:rPr>
              <w:t>Insiderliste anlegen und pflegen</w:t>
            </w:r>
          </w:p>
        </w:tc>
        <w:tc>
          <w:tcPr>
            <w:tcW w:type="dxa" w:w="2268"/>
          </w:tcPr>
          <w:p>
            <w:r>
              <w:rPr>
                <w:rFonts w:ascii="Times New Roman" w:hAnsi="Times New Roman"/>
                <w:sz w:val="20"/>
              </w:rPr>
              <w:t>Nordstern Compliance</w:t>
            </w:r>
          </w:p>
        </w:tc>
        <w:tc>
          <w:tcPr>
            <w:tcW w:type="dxa" w:w="2268"/>
          </w:tcPr>
          <w:p>
            <w:r>
              <w:rPr>
                <w:rFonts w:ascii="Times New Roman" w:hAnsi="Times New Roman"/>
                <w:sz w:val="20"/>
              </w:rPr>
              <w:t>Offen</w:t>
            </w:r>
          </w:p>
        </w:tc>
      </w:tr>
      <w:tr>
        <w:tc>
          <w:tcPr>
            <w:tcW w:type="dxa" w:w="2268"/>
          </w:tcPr>
          <w:p>
            <w:r>
              <w:rPr>
                <w:rFonts w:ascii="Times New Roman" w:hAnsi="Times New Roman"/>
                <w:sz w:val="20"/>
              </w:rPr>
              <w:t>M-03</w:t>
            </w:r>
          </w:p>
        </w:tc>
        <w:tc>
          <w:tcPr>
            <w:tcW w:type="dxa" w:w="2268"/>
          </w:tcPr>
          <w:p>
            <w:r>
              <w:rPr>
                <w:rFonts w:ascii="Times New Roman" w:hAnsi="Times New Roman"/>
                <w:sz w:val="20"/>
              </w:rPr>
              <w:t>Handelsverbot kommunizieren (alle Beteiligten)</w:t>
            </w:r>
          </w:p>
        </w:tc>
        <w:tc>
          <w:tcPr>
            <w:tcW w:type="dxa" w:w="2268"/>
          </w:tcPr>
          <w:p>
            <w:r>
              <w:rPr>
                <w:rFonts w:ascii="Times New Roman" w:hAnsi="Times New Roman"/>
                <w:sz w:val="20"/>
              </w:rPr>
              <w:t>Kanzlei</w:t>
            </w:r>
          </w:p>
        </w:tc>
        <w:tc>
          <w:tcPr>
            <w:tcW w:type="dxa" w:w="2268"/>
          </w:tcPr>
          <w:p>
            <w:r>
              <w:rPr>
                <w:rFonts w:ascii="Times New Roman" w:hAnsi="Times New Roman"/>
                <w:sz w:val="20"/>
              </w:rPr>
              <w:t>Erledigt 15.05.2026</w:t>
            </w:r>
          </w:p>
        </w:tc>
      </w:tr>
      <w:tr>
        <w:tc>
          <w:tcPr>
            <w:tcW w:type="dxa" w:w="2268"/>
          </w:tcPr>
          <w:p>
            <w:r>
              <w:rPr>
                <w:rFonts w:ascii="Times New Roman" w:hAnsi="Times New Roman"/>
                <w:sz w:val="20"/>
              </w:rPr>
              <w:t>M-04</w:t>
            </w:r>
          </w:p>
        </w:tc>
        <w:tc>
          <w:tcPr>
            <w:tcW w:type="dxa" w:w="2268"/>
          </w:tcPr>
          <w:p>
            <w:r>
              <w:rPr>
                <w:rFonts w:ascii="Times New Roman" w:hAnsi="Times New Roman"/>
                <w:sz w:val="20"/>
              </w:rPr>
              <w:t>Ad-hoc-Mitteilungsentwurf freigeben lassen</w:t>
            </w:r>
          </w:p>
        </w:tc>
        <w:tc>
          <w:tcPr>
            <w:tcW w:type="dxa" w:w="2268"/>
          </w:tcPr>
          <w:p>
            <w:r>
              <w:rPr>
                <w:rFonts w:ascii="Times New Roman" w:hAnsi="Times New Roman"/>
                <w:sz w:val="20"/>
              </w:rPr>
              <w:t>Nordstern Vorstand + Dr. Kessler</w:t>
            </w:r>
          </w:p>
        </w:tc>
        <w:tc>
          <w:tcPr>
            <w:tcW w:type="dxa" w:w="2268"/>
          </w:tcPr>
          <w:p>
            <w:r>
              <w:rPr>
                <w:rFonts w:ascii="Times New Roman" w:hAnsi="Times New Roman"/>
                <w:sz w:val="20"/>
              </w:rPr>
              <w:t>In Bearbeitung</w:t>
            </w:r>
          </w:p>
        </w:tc>
      </w:tr>
      <w:tr>
        <w:tc>
          <w:tcPr>
            <w:tcW w:type="dxa" w:w="2268"/>
          </w:tcPr>
          <w:p>
            <w:r>
              <w:rPr>
                <w:rFonts w:ascii="Times New Roman" w:hAnsi="Times New Roman"/>
                <w:sz w:val="20"/>
              </w:rPr>
              <w:t>M-05</w:t>
            </w:r>
          </w:p>
        </w:tc>
        <w:tc>
          <w:tcPr>
            <w:tcW w:type="dxa" w:w="2268"/>
          </w:tcPr>
          <w:p>
            <w:r>
              <w:rPr>
                <w:rFonts w:ascii="Times New Roman" w:hAnsi="Times New Roman"/>
                <w:sz w:val="20"/>
              </w:rPr>
              <w:t>Veröffentlichung über DPA-AFX / EQS nach Closing</w:t>
            </w:r>
          </w:p>
        </w:tc>
        <w:tc>
          <w:tcPr>
            <w:tcW w:type="dxa" w:w="2268"/>
          </w:tcPr>
          <w:p>
            <w:r>
              <w:rPr>
                <w:rFonts w:ascii="Times New Roman" w:hAnsi="Times New Roman"/>
                <w:sz w:val="20"/>
              </w:rPr>
              <w:t>Nordstern IR</w:t>
            </w:r>
          </w:p>
        </w:tc>
        <w:tc>
          <w:tcPr>
            <w:tcW w:type="dxa" w:w="2268"/>
          </w:tcPr>
          <w:p>
            <w:r>
              <w:rPr>
                <w:rFonts w:ascii="Times New Roman" w:hAnsi="Times New Roman"/>
                <w:sz w:val="20"/>
              </w:rPr>
              <w:t>Closing-Tag</w:t>
            </w:r>
          </w:p>
        </w:tc>
      </w:tr>
      <w:tr>
        <w:tc>
          <w:tcPr>
            <w:tcW w:type="dxa" w:w="2268"/>
          </w:tcPr>
          <w:p>
            <w:r>
              <w:rPr>
                <w:rFonts w:ascii="Times New Roman" w:hAnsi="Times New Roman"/>
                <w:sz w:val="20"/>
              </w:rPr>
              <w:t>M-06</w:t>
            </w:r>
          </w:p>
        </w:tc>
        <w:tc>
          <w:tcPr>
            <w:tcW w:type="dxa" w:w="2268"/>
          </w:tcPr>
          <w:p>
            <w:r>
              <w:rPr>
                <w:rFonts w:ascii="Times New Roman" w:hAnsi="Times New Roman"/>
                <w:sz w:val="20"/>
              </w:rPr>
              <w:t>Insiderliste nach Closing 5 Jahre aufbewahren</w:t>
            </w:r>
          </w:p>
        </w:tc>
        <w:tc>
          <w:tcPr>
            <w:tcW w:type="dxa" w:w="2268"/>
          </w:tcPr>
          <w:p>
            <w:r>
              <w:rPr>
                <w:rFonts w:ascii="Times New Roman" w:hAnsi="Times New Roman"/>
                <w:sz w:val="20"/>
              </w:rPr>
              <w:t>Nordstern Compliance</w:t>
            </w:r>
          </w:p>
        </w:tc>
        <w:tc>
          <w:tcPr>
            <w:tcW w:type="dxa" w:w="2268"/>
          </w:tcPr>
          <w:p>
            <w:r>
              <w:rPr>
                <w:rFonts w:ascii="Times New Roman" w:hAnsi="Times New Roman"/>
                <w:sz w:val="20"/>
              </w:rPr>
              <w:t>Post-Closing</w:t>
            </w:r>
          </w:p>
        </w:tc>
      </w:tr>
    </w:tbl>
    <w:p/>
    <w:p>
      <w:pPr>
        <w:pStyle w:val="Heading2"/>
      </w:pPr>
      <w:r>
        <w:rPr>
          <w:rFonts w:ascii="Times New Roman" w:hAnsi="Times New Roman"/>
        </w:rPr>
        <w:t>7. Fazit</w:t>
      </w:r>
    </w:p>
    <w:p>
      <w:pPr>
        <w:jc w:val="left"/>
      </w:pPr>
      <w:r>
        <w:t xml:space="preserve">Die Transaktion selbst ist kein Public-M&amp;A-Fall im engeren Sinne (kein Angebot nach WpÜG, keine börsennotierte Target). </w:t>
      </w:r>
      <w:r>
        <w:rPr>
          <w:b/>
        </w:rPr>
        <w:t>MAR greift jedoch mittelbar über die Börsennotierung von Nordstern Beteiligungs SE.</w:t>
      </w:r>
      <w:r>
        <w:t xml:space="preserve"> Die wichtigsten Maßnahmen (Aufschubdokumentation, Insiderliste, Ad-hoc-Entwurf) sind vorzubereiten und durch Nordstern Compliance umzusetzen.</w:t>
      </w:r>
    </w:p>
    <w:p/>
    <w:p>
      <w:pPr>
        <w:jc w:val="left"/>
      </w:pPr>
      <w:r>
        <w:rPr>
          <w:i/>
        </w:rPr>
        <w:t>Aktenvermerk-Nr.: AV-MAR-2026-001 | Vertraulich — Rechtsanwaltsprivileg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