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WpÜG-Anwendbarkeits-Vermerk — Projekt Silberfalke</w:t>
      </w:r>
    </w:p>
    <w:p>
      <w:pPr>
        <w:jc w:val="left"/>
      </w:pPr>
      <w:r>
        <w:rPr>
          <w:b/>
        </w:rPr>
        <w:t>Aktenzeichen:</w:t>
      </w:r>
      <w:r>
        <w:t xml:space="preserve"> MA-2026-SF-001</w:t>
      </w:r>
    </w:p>
    <w:p>
      <w:pPr>
        <w:jc w:val="left"/>
      </w:pPr>
      <w:r>
        <w:rPr>
          <w:b/>
        </w:rPr>
        <w:t>Erstellt:</w:t>
      </w:r>
      <w:r>
        <w:t xml:space="preserve"> 15.05.2026</w:t>
      </w:r>
    </w:p>
    <w:p>
      <w:pPr>
        <w:jc w:val="left"/>
      </w:pPr>
      <w:r>
        <w:rPr>
          <w:b/>
        </w:rPr>
        <w:t>Verfasser:</w:t>
      </w:r>
      <w:r>
        <w:t xml:space="preserve"> Dr. Kessler (Kapitalmarktrecht)</w:t>
      </w:r>
    </w:p>
    <w:p>
      <w:pPr>
        <w:jc w:val="left"/>
      </w:pPr>
      <w:r>
        <w:rPr>
          <w:b/>
        </w:rPr>
        <w:t>Adressat:</w:t>
      </w:r>
      <w:r>
        <w:t xml:space="preserve"> Deal Team intern</w:t>
      </w:r>
    </w:p>
    <w:p>
      <w:pPr>
        <w:jc w:val="left"/>
      </w:pPr>
      <w:r>
        <w:rPr>
          <w:b/>
        </w:rPr>
        <w:t>Zweck:</w:t>
      </w:r>
      <w:r>
        <w:t xml:space="preserve"> Kurzdokumentation der WpÜG-Nichtanwendbarkeit; Ablage zu Compliance-Zwecken</w:t>
      </w:r>
    </w:p>
    <w:p/>
    <w:p>
      <w:pPr>
        <w:pStyle w:val="Heading2"/>
      </w:pPr>
      <w:r>
        <w:rPr>
          <w:rFonts w:ascii="Times New Roman" w:hAnsi="Times New Roman"/>
        </w:rPr>
        <w:t>1. Rechtsfrage</w:t>
      </w:r>
    </w:p>
    <w:p>
      <w:pPr>
        <w:jc w:val="left"/>
      </w:pPr>
      <w:r>
        <w:t>Das Wertpapiererwerbs- und Übernahmegesetz (WpÜG) regelt öffentliche Angebote zum Erwerb von Wertpapieren börsennotierter Zielgesellschaften sowie Pflichtangebote bei Kontrollerlangung. Es ist zu prüfen, ob das WpÜG auf den Erwerb sämtlicher Anteile an der Solaris Industries AG Anwendung findet.</w:t>
      </w:r>
    </w:p>
    <w:p/>
    <w:p>
      <w:pPr>
        <w:pStyle w:val="Heading2"/>
      </w:pPr>
      <w:r>
        <w:rPr>
          <w:rFonts w:ascii="Times New Roman" w:hAnsi="Times New Roman"/>
        </w:rPr>
        <w:t>2. Prüfung der Tatbestandsvoraussetzungen</w:t>
      </w:r>
    </w:p>
    <w:p>
      <w:pPr>
        <w:pStyle w:val="Heading3"/>
      </w:pPr>
      <w:r>
        <w:rPr>
          <w:rFonts w:ascii="Times New Roman" w:hAnsi="Times New Roman"/>
        </w:rPr>
        <w:t>2.1 Börsennotierung der Zielgesellschaft (§ 2 Abs. 7 WpÜG)</w:t>
      </w:r>
    </w:p>
    <w:p>
      <w:pPr>
        <w:jc w:val="left"/>
      </w:pPr>
      <w:r>
        <w:t>Das WpÜG ist nur anwendbar auf Zielgesellschaften, deren Aktien zum Handel an einem organisierten Markt i.S.v. § 2 Abs. 7 WpÜG (Börsennotierung im regulierten Markt, EU-regulierter Markt oder vergleichbarer Drittlandmarkt) zugelassen sind.</w:t>
      </w:r>
    </w:p>
    <w:p>
      <w:pPr>
        <w:jc w:val="left"/>
      </w:pPr>
      <w:r>
        <w:rPr>
          <w:b/>
        </w:rPr>
        <w:t>Solaris Industries AG:</w:t>
      </w:r>
      <w:r>
        <w:t xml:space="preserve"> nicht börsennotiert. Sitz Düsseldorf, Rechtsform AG, Aktien ausschließlich durch Nordstern Beteiligungs SE (100 %) gehalten. Keine Zulassung zum Handel an einem organisierten Markt.</w:t>
      </w:r>
    </w:p>
    <w:p>
      <w:pPr>
        <w:jc w:val="left"/>
      </w:pPr>
      <w:r>
        <w:rPr>
          <w:b/>
        </w:rPr>
        <w:t>Ergebnis:</w:t>
      </w:r>
      <w:r>
        <w:t xml:space="preserve"> Tatbestandsmerkmal der Börsennotierung ist nicht erfüllt. § 1 WpÜG i.V.m. § 2 WpÜG ist nicht anwendbar.</w:t>
      </w:r>
    </w:p>
    <w:p>
      <w:pPr>
        <w:pStyle w:val="Heading3"/>
      </w:pPr>
      <w:r>
        <w:rPr>
          <w:rFonts w:ascii="Times New Roman" w:hAnsi="Times New Roman"/>
        </w:rPr>
        <w:t>2.2 Pflichtangebot (§§ 35 ff. WpÜG)</w:t>
      </w:r>
    </w:p>
    <w:p>
      <w:pPr>
        <w:jc w:val="left"/>
      </w:pPr>
      <w:r>
        <w:t>Das Pflichtangebot entsteht, wenn jemand die Kontrolle (&gt; 30 % der Stimmrechte) über eine börsennotierte Gesellschaft erlangt. Da Solaris Industries AG nicht börsennotiert ist, scheidet auch ein Pflichtangebot aus.</w:t>
      </w:r>
    </w:p>
    <w:p>
      <w:pPr>
        <w:pStyle w:val="Heading3"/>
      </w:pPr>
      <w:r>
        <w:rPr>
          <w:rFonts w:ascii="Times New Roman" w:hAnsi="Times New Roman"/>
        </w:rPr>
        <w:t>2.3 Indirekter Kontrollerwerb (§ 35 Abs. 2 WpÜG)</w:t>
      </w:r>
    </w:p>
    <w:p>
      <w:pPr>
        <w:jc w:val="left"/>
      </w:pPr>
      <w:r>
        <w:t>Wenn durch den Erwerb von Solaris Industries AG indirekt die Kontrolle über eine börsennotierte Gesellschaft erlangt würde, könnte § 35 Abs. 2 WpÜG greifen. Solaris Industries AG hat keine Tochtergesellschaft, die börsennotiert ist. Auszuschließen.</w:t>
      </w:r>
    </w:p>
    <w:p/>
    <w:p>
      <w:pPr>
        <w:pStyle w:val="Heading2"/>
      </w:pPr>
      <w:r>
        <w:rPr>
          <w:rFonts w:ascii="Times New Roman" w:hAnsi="Times New Roman"/>
        </w:rPr>
        <w:t>3. Public-M&amp;A-Abgrenzung</w:t>
      </w:r>
    </w:p>
    <w:p>
      <w:pPr>
        <w:jc w:val="left"/>
      </w:pPr>
      <w:r>
        <w:t>Obwohl das WpÜG im vorliegenden Fall nicht anwendbar ist, soll die Abgrenzung in der Transaktionsakte dokumentiert werden. Für den internen Closing-Check werden folgende Unterschiede festgehalten: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Public M&amp;A (börsennotiertes Target)</w:t>
            </w:r>
          </w:p>
        </w:tc>
        <w:tc>
          <w:tcPr>
            <w:tcW w:type="dxa" w:w="4536"/>
          </w:tcPr>
          <w:p>
            <w:r>
              <w:rPr>
                <w:rFonts w:ascii="Times New Roman" w:hAnsi="Times New Roman"/>
                <w:b/>
                <w:sz w:val="20"/>
              </w:rPr>
              <w:t>Private M&amp;A (vorliegend)</w:t>
            </w:r>
          </w:p>
        </w:tc>
      </w:tr>
      <w:tr>
        <w:tc>
          <w:tcPr>
            <w:tcW w:type="dxa" w:w="4536"/>
          </w:tcPr>
          <w:p>
            <w:r>
              <w:rPr>
                <w:rFonts w:ascii="Times New Roman" w:hAnsi="Times New Roman"/>
                <w:sz w:val="20"/>
              </w:rPr>
              <w:t>WpÜG-Angebotsdokument (§ 11 WpÜG)</w:t>
            </w:r>
          </w:p>
        </w:tc>
        <w:tc>
          <w:tcPr>
            <w:tcW w:type="dxa" w:w="4536"/>
          </w:tcPr>
          <w:p>
            <w:r>
              <w:rPr>
                <w:rFonts w:ascii="Times New Roman" w:hAnsi="Times New Roman"/>
                <w:sz w:val="20"/>
              </w:rPr>
              <w:t>SPA + Disclosure Letter</w:t>
            </w:r>
          </w:p>
        </w:tc>
      </w:tr>
      <w:tr>
        <w:tc>
          <w:tcPr>
            <w:tcW w:type="dxa" w:w="4536"/>
          </w:tcPr>
          <w:p>
            <w:r>
              <w:rPr>
                <w:rFonts w:ascii="Times New Roman" w:hAnsi="Times New Roman"/>
                <w:sz w:val="20"/>
              </w:rPr>
              <w:t>Pflichtangebot bei &gt; 30 % Kontrolle</w:t>
            </w:r>
          </w:p>
        </w:tc>
        <w:tc>
          <w:tcPr>
            <w:tcW w:type="dxa" w:w="4536"/>
          </w:tcPr>
          <w:p>
            <w:r>
              <w:rPr>
                <w:rFonts w:ascii="Times New Roman" w:hAnsi="Times New Roman"/>
                <w:sz w:val="20"/>
              </w:rPr>
              <w:t>Nicht einschlägig</w:t>
            </w:r>
          </w:p>
        </w:tc>
      </w:tr>
      <w:tr>
        <w:tc>
          <w:tcPr>
            <w:tcW w:type="dxa" w:w="4536"/>
          </w:tcPr>
          <w:p>
            <w:r>
              <w:rPr>
                <w:rFonts w:ascii="Times New Roman" w:hAnsi="Times New Roman"/>
                <w:sz w:val="20"/>
              </w:rPr>
              <w:t>BaFin Angebotskontrolle</w:t>
            </w:r>
          </w:p>
        </w:tc>
        <w:tc>
          <w:tcPr>
            <w:tcW w:type="dxa" w:w="4536"/>
          </w:tcPr>
          <w:p>
            <w:r>
              <w:rPr>
                <w:rFonts w:ascii="Times New Roman" w:hAnsi="Times New Roman"/>
                <w:sz w:val="20"/>
              </w:rPr>
              <w:t>BKartA + BMWK (FDI)</w:t>
            </w:r>
          </w:p>
        </w:tc>
      </w:tr>
      <w:tr>
        <w:tc>
          <w:tcPr>
            <w:tcW w:type="dxa" w:w="4536"/>
          </w:tcPr>
          <w:p>
            <w:r>
              <w:rPr>
                <w:rFonts w:ascii="Times New Roman" w:hAnsi="Times New Roman"/>
                <w:sz w:val="20"/>
              </w:rPr>
              <w:t>Ad-hoc-Mitteilung des Targets (MAR)</w:t>
            </w:r>
          </w:p>
        </w:tc>
        <w:tc>
          <w:tcPr>
            <w:tcW w:type="dxa" w:w="4536"/>
          </w:tcPr>
          <w:p>
            <w:r>
              <w:rPr>
                <w:rFonts w:ascii="Times New Roman" w:hAnsi="Times New Roman"/>
                <w:sz w:val="20"/>
              </w:rPr>
              <w:t>Ad-hoc durch Nordstern SE (Mutter)</w:t>
            </w:r>
          </w:p>
        </w:tc>
      </w:tr>
      <w:tr>
        <w:tc>
          <w:tcPr>
            <w:tcW w:type="dxa" w:w="4536"/>
          </w:tcPr>
          <w:p>
            <w:r>
              <w:rPr>
                <w:rFonts w:ascii="Times New Roman" w:hAnsi="Times New Roman"/>
                <w:sz w:val="20"/>
              </w:rPr>
              <w:t>Mindestangebotspreis nach Börsenkurs</w:t>
            </w:r>
          </w:p>
        </w:tc>
        <w:tc>
          <w:tcPr>
            <w:tcW w:type="dxa" w:w="4536"/>
          </w:tcPr>
          <w:p>
            <w:r>
              <w:rPr>
                <w:rFonts w:ascii="Times New Roman" w:hAnsi="Times New Roman"/>
                <w:sz w:val="20"/>
              </w:rPr>
              <w:t>Frei verhandelter EV (EUR 180 Mio.)</w:t>
            </w:r>
          </w:p>
        </w:tc>
      </w:tr>
      <w:tr>
        <w:tc>
          <w:tcPr>
            <w:tcW w:type="dxa" w:w="4536"/>
          </w:tcPr>
          <w:p>
            <w:r>
              <w:rPr>
                <w:rFonts w:ascii="Times New Roman" w:hAnsi="Times New Roman"/>
                <w:sz w:val="20"/>
              </w:rPr>
              <w:t>Annahmefrist 4–10 Wochen</w:t>
            </w:r>
          </w:p>
        </w:tc>
        <w:tc>
          <w:tcPr>
            <w:tcW w:type="dxa" w:w="4536"/>
          </w:tcPr>
          <w:p>
            <w:r>
              <w:rPr>
                <w:rFonts w:ascii="Times New Roman" w:hAnsi="Times New Roman"/>
                <w:sz w:val="20"/>
              </w:rPr>
              <w:t>Closing nach CP-Erfüllung</w:t>
            </w:r>
          </w:p>
        </w:tc>
      </w:tr>
      <w:tr>
        <w:tc>
          <w:tcPr>
            <w:tcW w:type="dxa" w:w="4536"/>
          </w:tcPr>
          <w:p>
            <w:r>
              <w:rPr>
                <w:rFonts w:ascii="Times New Roman" w:hAnsi="Times New Roman"/>
                <w:sz w:val="20"/>
              </w:rPr>
              <w:t>Squeeze-out bei &gt; 90 %</w:t>
            </w:r>
          </w:p>
        </w:tc>
        <w:tc>
          <w:tcPr>
            <w:tcW w:type="dxa" w:w="4536"/>
          </w:tcPr>
          <w:p>
            <w:r>
              <w:rPr>
                <w:rFonts w:ascii="Times New Roman" w:hAnsi="Times New Roman"/>
                <w:sz w:val="20"/>
              </w:rPr>
              <w:t>Nicht einschlägig</w:t>
            </w:r>
          </w:p>
        </w:tc>
      </w:tr>
    </w:tbl>
    <w:p/>
    <w:p>
      <w:pPr>
        <w:pStyle w:val="Heading2"/>
      </w:pPr>
      <w:r>
        <w:rPr>
          <w:rFonts w:ascii="Times New Roman" w:hAnsi="Times New Roman"/>
        </w:rPr>
        <w:t>4. Fazit und Freigabe</w:t>
      </w:r>
    </w:p>
    <w:p>
      <w:pPr>
        <w:jc w:val="left"/>
      </w:pPr>
      <w:r>
        <w:t xml:space="preserve">WpÜG ist auf die Transaktion Projekt Silberfalke </w:t>
      </w:r>
      <w:r>
        <w:rPr>
          <w:b/>
        </w:rPr>
        <w:t>nicht anwendbar</w:t>
      </w:r>
      <w:r>
        <w:t>. Die Transaktion ist ein klassischer Private-M&amp;A-Share-Deal. Die Kapitalmarktrechts-Relevanz beschränkt sich auf MAR (mittelbar über Nordstern SE — separater Vermerk AV-MAR-2026-001).</w:t>
      </w:r>
    </w:p>
    <w:p>
      <w:pPr>
        <w:jc w:val="left"/>
      </w:pPr>
      <w:r>
        <w:t>Dieser Vermerk ist für Compliance-Zwecke in der Akte zu halten und bedarf keiner gesonderten Mandantenfreigabe.</w:t>
      </w:r>
    </w:p>
    <w:p/>
    <w:p>
      <w:pPr>
        <w:jc w:val="left"/>
      </w:pPr>
      <w:r>
        <w:rPr>
          <w:i/>
        </w:rPr>
        <w:t>Aktenvermerk-Nr.: AV-WpÜG-2026-001 | Vertraulich — Rechtsanwaltsprivileg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