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Insolvenzplan-Option vs. StaRUG-Stabilisierung — Vergleichsmemo</w:t>
      </w:r>
    </w:p>
    <w:p>
      <w:pPr>
        <w:jc w:val="left"/>
      </w:pPr>
      <w:r>
        <w:rPr>
          <w:b/>
        </w:rPr>
        <w:t>Aktenzeichen:</w:t>
      </w:r>
      <w:r>
        <w:t xml:space="preserve"> MA-2026-SF-001-R</w:t>
      </w:r>
    </w:p>
    <w:p>
      <w:pPr>
        <w:jc w:val="left"/>
      </w:pPr>
      <w:r>
        <w:rPr>
          <w:b/>
        </w:rPr>
        <w:t>Erstellt:</w:t>
      </w:r>
      <w:r>
        <w:t xml:space="preserve"> 17.05.2026</w:t>
      </w:r>
    </w:p>
    <w:p>
      <w:pPr>
        <w:jc w:val="left"/>
      </w:pPr>
      <w:r>
        <w:rPr>
          <w:b/>
        </w:rPr>
        <w:t>Verfasser:</w:t>
      </w:r>
      <w:r>
        <w:t xml:space="preserve"> Counsel D (Restrukturierung)</w:t>
      </w:r>
    </w:p>
    <w:p>
      <w:pPr>
        <w:jc w:val="left"/>
      </w:pPr>
      <w:r>
        <w:rPr>
          <w:b/>
        </w:rPr>
        <w:t>Adressat:</w:t>
      </w:r>
      <w:r>
        <w:t xml:space="preserve"> Deal Team / Eagle Capital Partners — Intern</w:t>
      </w:r>
    </w:p>
    <w:p/>
    <w:p>
      <w:pPr>
        <w:pStyle w:val="Heading2"/>
      </w:pPr>
      <w:r>
        <w:rPr>
          <w:rFonts w:ascii="Times New Roman" w:hAnsi="Times New Roman"/>
        </w:rPr>
        <w:t>1. Fragestellung</w:t>
      </w:r>
    </w:p>
    <w:p>
      <w:pPr>
        <w:jc w:val="left"/>
      </w:pPr>
      <w:r>
        <w:t xml:space="preserve">Das Deal Team hat angefragt, ob bei einer hypothetischen Verschlechterung der Lage der Delta Service GmbH ein </w:t>
      </w:r>
      <w:r>
        <w:rPr>
          <w:b/>
        </w:rPr>
        <w:t>Erwerb aus der Insolvenz (Asset Deal)</w:t>
      </w:r>
      <w:r>
        <w:t xml:space="preserve"> gegenüber einem </w:t>
      </w:r>
      <w:r>
        <w:rPr>
          <w:b/>
        </w:rPr>
        <w:t>Share Deal mit StaRUG-Stabilisierung</w:t>
      </w:r>
      <w:r>
        <w:t xml:space="preserve"> vorzugswürdig wäre. Dieses Memo liefert einen strukturierten Vergleich beider Optionen.</w:t>
      </w:r>
    </w:p>
    <w:p/>
    <w:p>
      <w:pPr>
        <w:pStyle w:val="Heading2"/>
      </w:pPr>
      <w:r>
        <w:rPr>
          <w:rFonts w:ascii="Times New Roman" w:hAnsi="Times New Roman"/>
        </w:rPr>
        <w:t>2. Szenariobeschreibung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Ausgangslage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Szenario I: Share Deal mit StaRUG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Delta Service GmbH noch nicht zahlungsunfähig; StaRUG-Stabilisierung erfolgreich; Transaktion vollzieht sich wie geplant.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Szenario II: Insolvenz + Asset Deal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Delta Service GmbH wird zahlungsunfähig vor Closing; Insolvenzverfahren eröffnet; Eagle erwirbt Aktivseite im Rahmen eines Insolvenzplan-Asset-Deals.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Tabellarischer Vergleich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 I: Share Deal +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 II: Asset Deal aus Insolvenz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Übertragungsgegenstand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Gesellschaftsanteile (100 %)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Einzelne Vermögenswerte (Betrieb, IP, Personal)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Verbindlichkeitenübernahme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alle Schulden gehen mit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— nur ausgewählte Verbindlichkeiten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Altlasten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Bleiben in Gesellschaft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Bleiben in Insolvenzmasse (Restgesellschaft)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von StaRUG-Verfahren (3–9 Monate)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3–6 Monate für Planbestätigung + Abwicklung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Kaufpreis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Marktpreis (EV-basiert)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Deutlich günstiger (Notlage-Abschlag)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Change-of-Control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wenn Verträge CoC-Klauseln enthalten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CoC-Auslösung bei Neuabschluss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Reputationsrisiko Lieferanten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 (kein öffentliches Verfahren)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(öffentliche Insolvenzbekanntmachung)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Kundenverträge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Bleiben bestehen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Müssen neu verhandelt werden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Arbeitsverhältnisse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613a BGB: automatischer Übergang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613a BGB gilt auch beim Asset Deal; Widerspruchsrecht der Arbeitnehmer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W&amp;I-Versicherung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Möglich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der Regel nicht für Insolvenz-Asset-Deals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Komplexität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Steuervorteil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Verlustvorträge bleiben (§ 8c KStG beachten)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Verlustvorträge gehen verloren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 Insolvenzanfechtung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Anfechtungsrisiken der Insolvenzmasse prüfen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Rechtliche Anforderungen Insolvenzplan (§§ 217–269 InsO)</w:t>
      </w:r>
    </w:p>
    <w:p>
      <w:pPr>
        <w:jc w:val="left"/>
      </w:pPr>
      <w:r>
        <w:t>Falls Szenario II eintritt, gelten für den Insolvenzplan:</w:t>
      </w:r>
    </w:p>
    <w:p>
      <w:pPr>
        <w:pStyle w:val="ListNumber"/>
      </w:pPr>
      <w:r>
        <w:rPr>
          <w:b/>
        </w:rPr>
        <w:t>Darstellender Teil</w:t>
      </w:r>
      <w:r>
        <w:t xml:space="preserve"> (§ 220 InsO): Wirtschaftliche Lage, Ursachen der Insolvenz</w:t>
      </w:r>
    </w:p>
    <w:p>
      <w:pPr>
        <w:pStyle w:val="ListNumber"/>
      </w:pPr>
      <w:r>
        <w:rPr>
          <w:b/>
        </w:rPr>
        <w:t>Gestaltender Teil</w:t>
      </w:r>
      <w:r>
        <w:t xml:space="preserve"> (§ 221 InsO): Gläubigerbefriedigung, Quoten, Masseverwendung</w:t>
      </w:r>
    </w:p>
    <w:p>
      <w:pPr>
        <w:pStyle w:val="ListNumber"/>
      </w:pPr>
      <w:r>
        <w:rPr>
          <w:b/>
        </w:rPr>
        <w:t>Gruppen</w:t>
      </w:r>
      <w:r>
        <w:t xml:space="preserve"> (§ 222 InsO): Absonderungsberechtigte, ungesicherte Gläubiger, nachrangige Gläubiger, ggf. Anteilsinhaber</w:t>
      </w:r>
    </w:p>
    <w:p>
      <w:pPr>
        <w:pStyle w:val="ListNumber"/>
      </w:pPr>
      <w:r>
        <w:rPr>
          <w:b/>
        </w:rPr>
        <w:t>Abstimmung</w:t>
      </w:r>
      <w:r>
        <w:t xml:space="preserve"> (§§ 235–244 InsO): 50 % Kopfmehrheit + 50 % Summenmehrheit je Gruppe</w:t>
      </w:r>
    </w:p>
    <w:p>
      <w:pPr>
        <w:pStyle w:val="ListNumber"/>
      </w:pPr>
      <w:r>
        <w:rPr>
          <w:b/>
        </w:rPr>
        <w:t>Planbestätigung</w:t>
      </w:r>
      <w:r>
        <w:t xml:space="preserve"> durch Insolvenzgericht (§ 248 InsO)</w:t>
      </w:r>
    </w:p>
    <w:p>
      <w:pPr>
        <w:pStyle w:val="ListNumber"/>
      </w:pPr>
      <w:r>
        <w:rPr>
          <w:b/>
        </w:rPr>
        <w:t>Restschuldbefreiung</w:t>
      </w:r>
      <w:r>
        <w:t xml:space="preserve"> aller im Plan erfassten Verbindlichkeiten nach Vollzug</w:t>
      </w:r>
    </w:p>
    <w:p>
      <w:pPr>
        <w:jc w:val="left"/>
      </w:pPr>
      <w:r>
        <w:rPr>
          <w:b/>
        </w:rPr>
        <w:t>Besonderheit:</w:t>
      </w:r>
      <w:r>
        <w:t xml:space="preserve"> Für einen Erwerb aus der Insolvenz ohne formellen Plan (freihändiger Verkauf durch Insolvenzverwalter) genügen die §§ 160, 163 InsO (Zustimmung des Gläubigerausschusses). Dies ist schneller, aber weniger planbar.</w:t>
      </w:r>
    </w:p>
    <w:p/>
    <w:p>
      <w:pPr>
        <w:pStyle w:val="Heading2"/>
      </w:pPr>
      <w:r>
        <w:rPr>
          <w:rFonts w:ascii="Times New Roman" w:hAnsi="Times New Roman"/>
        </w:rPr>
        <w:t>5. Steuerliche Aspekte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Share Deal +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Asset Deal aus Insolvenz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Körperschaftsteuer auf Veräußerungsgewinn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Beim Verkäufer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Beim Insolvenzverwalter (Insolvenzmasse)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Verlustvorträge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Erhalten (§ 8c KStG Mindestbesteuerung beachten)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Entfallen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Grunderwerbsteuer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(Anteilskauf &lt; Grundbesitzgrenze)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Ggf. bei Grundstücksübergang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Umsatzsteuer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Ggf. auf Aktivaübertragung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Empfehlung</w:t>
      </w:r>
    </w:p>
    <w:p>
      <w:pPr>
        <w:jc w:val="left"/>
      </w:pPr>
      <w:r>
        <w:rPr>
          <w:b/>
        </w:rPr>
        <w:t>Im aktuellen Verfahrensstand (Szenario I)</w:t>
      </w:r>
      <w:r>
        <w:t xml:space="preserve"> ist der Share Deal mit StaRUG-Stabilisierung klar vorzugswürdig: Kaufpreis ist bereits im SPA fixiert, Kundenbeziehungen bleiben erhalten, Reputationsrisiken sind minimiert.</w:t>
      </w:r>
    </w:p>
    <w:p>
      <w:pPr>
        <w:jc w:val="left"/>
      </w:pPr>
      <w:r>
        <w:rPr>
          <w:b/>
        </w:rPr>
        <w:t>Szenario II (Insolvenz + Asset Deal)</w:t>
      </w:r>
      <w:r>
        <w:t xml:space="preserve"> sollte als </w:t>
      </w:r>
      <w:r>
        <w:rPr>
          <w:b/>
        </w:rPr>
        <w:t>Notfallplan</w:t>
      </w:r>
      <w:r>
        <w:t xml:space="preserve"> vorbereitet werden. Eagle sollte — für den Fall einer Eskalation — einen Insolvenzspezialisten bereits jetzt mandatieren, um ohne Zeitverlust reagieren zu können.</w:t>
      </w:r>
    </w:p>
    <w:p/>
    <w:p>
      <w:pPr>
        <w:pStyle w:val="Heading2"/>
      </w:pPr>
      <w:r>
        <w:rPr>
          <w:rFonts w:ascii="Times New Roman" w:hAnsi="Times New Roman"/>
        </w:rPr>
        <w:t>Anlagen</w:t>
      </w:r>
    </w:p>
    <w:p>
      <w:pPr>
        <w:pStyle w:val="ListBullet"/>
      </w:pPr>
      <w:r>
        <w:t>Anlage A: Schutzschirmantrag-Muster § 270b InsO</w:t>
      </w:r>
    </w:p>
    <w:p>
      <w:pPr>
        <w:pStyle w:val="ListBullet"/>
      </w:pPr>
      <w:r>
        <w:t>Anlage B: StaRUG-Restrukturierungsplan Gliederung (Muster)</w:t>
      </w:r>
    </w:p>
    <w:p/>
    <w:p>
      <w:pPr>
        <w:jc w:val="left"/>
      </w:pPr>
      <w:r>
        <w:rPr>
          <w:i/>
        </w:rPr>
        <w:t>Aktenvermerk-Nr.: AV-STAR-2026-002 | Privileged &amp; Confidential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