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W&amp;I-Versicherungs-Memo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15.05.2026</w:t>
      </w:r>
    </w:p>
    <w:p>
      <w:pPr>
        <w:jc w:val="left"/>
      </w:pPr>
      <w:r>
        <w:rPr>
          <w:b/>
        </w:rPr>
        <w:t>Verfasser:</w:t>
      </w:r>
      <w:r>
        <w:t xml:space="preserve"> Counsel B (M&amp;A-Gruppe)</w:t>
      </w:r>
    </w:p>
    <w:p>
      <w:pPr>
        <w:jc w:val="left"/>
      </w:pPr>
      <w:r>
        <w:rPr>
          <w:b/>
        </w:rPr>
        <w:t>Adressat:</w:t>
      </w:r>
      <w:r>
        <w:t xml:space="preserve"> Eagle Capital Partners / BlueSky Re (Underwriter)</w:t>
      </w:r>
    </w:p>
    <w:p>
      <w:pPr>
        <w:jc w:val="left"/>
      </w:pPr>
      <w:r>
        <w:rPr>
          <w:b/>
        </w:rPr>
        <w:t>Status:</w:t>
      </w:r>
      <w:r>
        <w:t xml:space="preserve"> Underwriting-Phase — intern</w:t>
      </w:r>
    </w:p>
    <w:p/>
    <w:p>
      <w:pPr>
        <w:pStyle w:val="Heading2"/>
      </w:pPr>
      <w:r>
        <w:rPr>
          <w:rFonts w:ascii="Times New Roman" w:hAnsi="Times New Roman"/>
        </w:rPr>
        <w:t>1. Überblick W&amp;I-Versicherung</w:t>
      </w:r>
    </w:p>
    <w:p>
      <w:pPr>
        <w:jc w:val="left"/>
      </w:pPr>
      <w:r>
        <w:t xml:space="preserve">Die Käuferin Eagle Capital Partners Fund V GmbH &amp; Co. KG hat entschieden, eine </w:t>
      </w:r>
      <w:r>
        <w:rPr>
          <w:b/>
        </w:rPr>
        <w:t>Warranty &amp; Indemnity (W&amp;I) Versicherung</w:t>
      </w:r>
      <w:r>
        <w:t xml:space="preserve"> auf der Käuferseite (Buy-side Policy) abzuschließen. Versicherer ist BlueSky Re (London), vertreten durch deutschen Makler Altius GmbH, Frankfurt. Die Police soll zum Closing in Kraft treten und die Garantien aus dem SPA absichern.</w:t>
      </w:r>
    </w:p>
    <w:p/>
    <w:p>
      <w:pPr>
        <w:pStyle w:val="Heading2"/>
      </w:pPr>
      <w:r>
        <w:rPr>
          <w:rFonts w:ascii="Times New Roman" w:hAnsi="Times New Roman"/>
        </w:rPr>
        <w:t>2. Struktur der W&amp;I-Versicherung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Buy-side Policy (Käuferin ist Versicherungsnehmer)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Policenlimit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18.000.000 (10 % EV)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Selbstbehalt (Retention)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1.800.000 (Tipping Basket, 1 % EV)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Versicherungsprämie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540.000 (ca. 3 % des Limits) — vorbehaltlich Underwriting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Jahre für Titel-Warranties; 3 Jahre für Business Warranties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Ausschlüsse (Standardklauseln)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Bekannte Risiken (Disclosed Matters), Forward-looking Statements, Pensionen (teilweise), Steuern (separater Tax-Indemnity-Topf)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Rückgriff Verkäufer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Erteilung der W&amp;I-Policy kein Rückgriff gegen Verkäufer (Clean Exit) für Business Warranties; Verkäufer-Haftung bleibt für Fraud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Underwriting-Prozess</w:t>
      </w:r>
    </w:p>
    <w:p>
      <w:pPr>
        <w:pStyle w:val="Heading3"/>
      </w:pPr>
      <w:r>
        <w:rPr>
          <w:rFonts w:ascii="Times New Roman" w:hAnsi="Times New Roman"/>
        </w:rPr>
        <w:t>3.1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Nicht-bindende Indikation BlueSky 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 SPA / W&amp;I-Antrag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Underwriting Pack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30.05.2026 (Ziel)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Underwriting Call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05.06.2026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Bindende Policy / Binder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 (Ziel)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(Policy tritt in Kraft)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Erforderliche Unterlagen für Underwriting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Unterlagenkategorie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inkl. Disclosure Schedules (Final)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— 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DD Scope &amp; Methodology Memo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Erstellt — 10.05.2026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Legal Red Flag Report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Erstellt — 08.05.2026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Financial DD Summary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von Finanzberater — 12.05.2026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Tax DD Summary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Environmental DD Summary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— 05.05.2026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Q&amp;A-Register (Abschluss)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 — 500 Fragen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KI-DD-Transparenzlog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Erstellt (Anlage)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Management Accounts (Q1/2026)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— 18.05.2026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Business Plan / Budgetplanung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— Vertrauensschutz-Kennzeichnung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Unternehmensstruktur / Organigramm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Risikoanalyse — Underwriting-relevante Punkte</w:t>
      </w:r>
    </w:p>
    <w:p>
      <w:pPr>
        <w:pStyle w:val="Heading3"/>
      </w:pPr>
      <w:r>
        <w:rPr>
          <w:rFonts w:ascii="Times New Roman" w:hAnsi="Times New Roman"/>
        </w:rPr>
        <w:t>4.1 Bekannte Risiken (Potential Exclusions)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Delta Service GmbH: Liquiditätsengpass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StaRUG-Schattenfall-Memo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bekanntes Risiko offenlegen; separater Escrow statt W&amp;I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Müller Antriebstechnik: Kündigungsrisiko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OCM OC-E-001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 Disclosure Letter festhalten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Aero Nordic: CoC-Consent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CP-14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Offenlegen; bedingter Deckungsausschluss bis Consent erteilt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ITAR-Self-Assessment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Regulatory Map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Exportkontrollausschluss droht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Rangrücktritt GGD nur 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bekannte Lücke offenlegen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Positivfaktoren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Erläuterung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Strukturierter Bieterprozess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Ausschreibungsqualität erhöht Vertrauen des Underwriters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Prominente Beraterteams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Erhöht Verlässlichkeit der DD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Audited Accounts verfügbar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Jahre testierte Abschlüsse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Environmental Clean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wesentlichen Kontaminationen in Environmental DD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Steuer-Komponente (Tax Warranty &amp; Indemnity)</w:t>
      </w:r>
    </w:p>
    <w:p>
      <w:pPr>
        <w:jc w:val="left"/>
      </w:pPr>
      <w:r>
        <w:t xml:space="preserve">Steuerliche Risiken werden standardmäßig aus der W&amp;I-Policy ausgeschlossen und durch eine separate </w:t>
      </w:r>
      <w:r>
        <w:rPr>
          <w:b/>
        </w:rPr>
        <w:t>Tax Indemnity</w:t>
      </w:r>
      <w:r>
        <w:t xml:space="preserve"> im SPA (Annex 9) abgesichert. Steuerhaftung bleibt beim Verkäufer für pre-Closing-Zeiträume.</w:t>
      </w:r>
    </w:p>
    <w:p>
      <w:pPr>
        <w:jc w:val="left"/>
      </w:pPr>
      <w:r>
        <w:rPr>
          <w:b/>
        </w:rPr>
        <w:t>Ausnahme:</w:t>
      </w:r>
      <w:r>
        <w:t xml:space="preserve"> Die W&amp;I-Policy deckt Darstellungen des Verkäufers zur Steuerkonformität (Compliance Warranties), sofern keine bekannten Streitpunkte offengelegt wurden.</w:t>
      </w:r>
    </w:p>
    <w:p/>
    <w:p>
      <w:pPr>
        <w:pStyle w:val="Heading2"/>
      </w:pPr>
      <w:r>
        <w:rPr>
          <w:rFonts w:ascii="Times New Roman" w:hAnsi="Times New Roman"/>
        </w:rPr>
        <w:t>6. Underwriting-Call Agenda (Entwurf)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Transaktionsüberblick und Struktur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DD-Methodik und Scope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Key Risks und Disclosure-Strategie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W&amp;I-Limit / Retention / Laufzeit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Bekannte Risiken (Delta Service, ITAR, CoC)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Management Representations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Closing-Zeitplan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Q&amp;A Underwriter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Empfehlungen an Eagle</w:t>
      </w:r>
    </w:p>
    <w:p>
      <w:pPr>
        <w:pStyle w:val="ListNumber"/>
      </w:pPr>
      <w:r>
        <w:t xml:space="preserve">Delta-Service-Risiko nicht in W&amp;I, sondern über separaten </w:t>
      </w:r>
      <w:r>
        <w:rPr>
          <w:b/>
        </w:rPr>
        <w:t>Escrow-Topf</w:t>
      </w:r>
      <w:r>
        <w:t xml:space="preserve"> (EUR 2 Mio., 24 Monate) absichern</w:t>
      </w:r>
    </w:p>
    <w:p>
      <w:pPr>
        <w:pStyle w:val="ListNumber"/>
      </w:pPr>
      <w:r>
        <w:t>ITAR-Clearance vor Underwriting Call vorlegen</w:t>
      </w:r>
    </w:p>
    <w:p>
      <w:pPr>
        <w:pStyle w:val="ListNumber"/>
      </w:pPr>
      <w:r>
        <w:t>KI-DD-Transparenzlog vollständig an Underwriter übergeben (Anlage AV-KI-2026-001)</w:t>
      </w:r>
    </w:p>
    <w:p>
      <w:pPr>
        <w:pStyle w:val="ListNumber"/>
      </w:pPr>
      <w:r>
        <w:t>Tax DD abschließen, damit kein vollständiger Steuerausschluss nötig ist</w:t>
      </w:r>
    </w:p>
    <w:p>
      <w:pPr>
        <w:pStyle w:val="ListNumber"/>
      </w:pPr>
      <w:r>
        <w:t>Underwriting Pack bis 30.05.2026 fertigstellen</w:t>
      </w:r>
    </w:p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Anlage 1: DD Scope Memo v. 10.05.2026</w:t>
      </w:r>
    </w:p>
    <w:p>
      <w:pPr>
        <w:pStyle w:val="ListBullet"/>
      </w:pPr>
      <w:r>
        <w:t>Anlage 2: Red Flag Report v. 08.05.2026</w:t>
      </w:r>
    </w:p>
    <w:p>
      <w:pPr>
        <w:pStyle w:val="ListBullet"/>
      </w:pPr>
      <w:r>
        <w:t>Anlage 3: KI-DD Transparenzlog (AV-KI-2026-001)</w:t>
      </w:r>
    </w:p>
    <w:p>
      <w:pPr>
        <w:pStyle w:val="ListBullet"/>
      </w:pPr>
      <w:r>
        <w:t>Anlage 4: Q&amp;A Register (Auszug Top-50)</w:t>
      </w:r>
    </w:p>
    <w:p>
      <w:pPr>
        <w:pStyle w:val="ListBullet"/>
      </w:pPr>
      <w:r>
        <w:t>Anlage 5: Underwriting Call Agenda</w:t>
      </w:r>
    </w:p>
    <w:p/>
    <w:p>
      <w:pPr>
        <w:jc w:val="left"/>
      </w:pPr>
      <w:r>
        <w:rPr>
          <w:i/>
        </w:rPr>
        <w:t>Aktenvermerk-Nr.: AV-WI-2026-001 | Privileged &amp; Confidential — Attorney-Client Communication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