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Aktenanlage — Projekt Silberfalke (Vollständige Ausarbeitung)</w:t>
      </w:r>
    </w:p>
    <w:p>
      <w:pPr>
        <w:jc w:val="left"/>
      </w:pPr>
      <w:r>
        <w:rPr>
          <w:b/>
        </w:rPr>
        <w:t>Kanzleiaktenzeichen:</w:t>
      </w:r>
      <w:r>
        <w:t xml:space="preserve"> MA-2026-SF-001</w:t>
      </w:r>
    </w:p>
    <w:p>
      <w:pPr>
        <w:jc w:val="left"/>
      </w:pPr>
      <w:r>
        <w:rPr>
          <w:b/>
        </w:rPr>
        <w:t>Deal-Code:</w:t>
      </w:r>
      <w:r>
        <w:t xml:space="preserve"> Projekt Silberfalke</w:t>
      </w:r>
    </w:p>
    <w:p>
      <w:pPr>
        <w:jc w:val="left"/>
      </w:pPr>
      <w:r>
        <w:rPr>
          <w:b/>
        </w:rPr>
        <w:t>Mandant:</w:t>
      </w:r>
      <w:r>
        <w:t xml:space="preserve"> Eagle Capital Partners Fund V GmbH &amp; Co. KG (Käuferin)</w:t>
      </w:r>
    </w:p>
    <w:p>
      <w:pPr>
        <w:jc w:val="left"/>
      </w:pPr>
      <w:r>
        <w:rPr>
          <w:b/>
        </w:rPr>
        <w:t>Rol­le:</w:t>
      </w:r>
      <w:r>
        <w:t xml:space="preserve"> Buy-side</w:t>
      </w:r>
    </w:p>
    <w:p>
      <w:pPr>
        <w:jc w:val="left"/>
      </w:pPr>
      <w:r>
        <w:rPr>
          <w:b/>
        </w:rPr>
        <w:t>Zielgesellschaft:</w:t>
      </w:r>
      <w:r>
        <w:t xml:space="preserve"> Solaris Industries AG, Düsseldorf</w:t>
      </w:r>
    </w:p>
    <w:p>
      <w:pPr>
        <w:jc w:val="left"/>
      </w:pPr>
      <w:r>
        <w:rPr>
          <w:b/>
        </w:rPr>
        <w:t>Eröffnet:</w:t>
      </w:r>
      <w:r>
        <w:t xml:space="preserve"> 01.04.2026</w:t>
      </w:r>
    </w:p>
    <w:p>
      <w:pPr>
        <w:jc w:val="left"/>
      </w:pPr>
      <w:r>
        <w:rPr>
          <w:b/>
        </w:rPr>
        <w:t>Letzte Aktualisierung:</w:t>
      </w:r>
      <w:r>
        <w:t xml:space="preserve"> 20.05.2026</w:t>
      </w:r>
    </w:p>
    <w:p>
      <w:pPr>
        <w:jc w:val="left"/>
      </w:pPr>
      <w:r>
        <w:rPr>
          <w:b/>
        </w:rPr>
        <w:t>Zeichnung:</w:t>
      </w:r>
      <w:r>
        <w:t xml:space="preserve"> Partner A</w:t>
      </w:r>
    </w:p>
    <w:p/>
    <w:p>
      <w:pPr>
        <w:pStyle w:val="Heading2"/>
      </w:pPr>
      <w:r>
        <w:rPr>
          <w:rFonts w:ascii="Times New Roman" w:hAnsi="Times New Roman"/>
        </w:rPr>
        <w:t>1. Mandats-Eckdaten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MA-2026-SF-001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Eagle Capital Partners Fund V GmbH &amp; Co. KG, Eschersheimer Landstraße 12, 60322 Frankfurt am Main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Gegenseite / Verkäufer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Nordstern Beteiligungs SE, Ballindamm 40, 20095 Hamburg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Target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Solaris Industries AG, Hansaallee 201, 40549 Düsseldorf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Ansprechpartner Mandant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Alexander Vogel (GF)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Konflikt-Clearance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Erteilt 03.04.2026 (keine Konflikte identifiziert)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Interessenkonflikt-Klausel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AV-KONF-2026-001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Vertraulichkeit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Privileged; Clean-Room-Dokumente gesondert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Abrechnungsmodell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Stundensatzmandat gemäß Mandatsvertrag v. 01.04.2026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Mandatsvertrag Referenz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MV-MA-2026-SF-001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Beteiligtenmatrix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Partei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Ansprechpartner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Kontakt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Mandant (Käuferin)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Eagle Capital Partners Fund V GmbH &amp; Co.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Vogel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a.vogel@eaglecap.de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Mandant LP-Vertreter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Eagle Capital LP Management LLC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James B. Crawford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j.crawford@eaglecap.com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Verkäufer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Nordstern Beteiligungs 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Vorstand Ritter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h.ritter@nordstern-se.de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Verkäufer Counsel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Bremer &amp; Partner Rechtsanwälte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Fischer (extern)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d.fischer@bremer-partner.de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Target Management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Solaris Industries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CEO Dr. Wagner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m.wagner@solaris-ag.de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Finanzierungsbank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DKB Transaktionsbank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Bereich M&amp;A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W&amp;I Makler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Altius GmbH,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Fr. Schmitt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s.schmitt@altius-re.de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W&amp;I Underwriter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BlueSky Re, London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Kaufmann, Notar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notariat-kaufmann@notare-ffm.de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Finanzberater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Meridian Advisory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Hr. Hansen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Steuerberater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Tax Partners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Hr. Schumacher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Regulatory Counsel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Meiners (Kanzlei)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Insolvenzberater (Reserve)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Restructuring Advisors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Hr. Klose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Ordnerstruktur und Belegkette</w:t>
      </w:r>
    </w:p>
    <w:p>
      <w:pPr>
        <w:jc w:val="left"/>
      </w:pPr>
      <w:r>
        <w:t>Die Akte ist in folgende Unterordner gegliedert: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Ordner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00_kommandocenter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Deal Briefing, Statusübersicht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01_intake_conflicts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Mandatseingang, Conflict Check, E-Mail-Mandant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02_target_screening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Outside-In-Analyse, Target-Pipeline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03_teaser_processdocs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NDA-Markup, Process Letter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04_datenraum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VDR-Index, Clean-Room-Log, Gap-Analyse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05_due_diligence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DD-Scope, Red Flag Report, Commercial DD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06_tabellenreview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Tabellenreview-Grid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07_qa_expert_calls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Q&amp;A-Register, Expert Call Notes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08_structure_umwandlung_tax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Strukturoptionen, KG-Check, Steuermatrix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09_spa_markup_disclosure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 Key Issues, Disclosure Schedule, Knowledge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10_signing_closing_regulatory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Signing/Closing Memo, OCM, CP-Register, Regulatory Map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11_public_ma_mar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MAR-Memo, WpÜG-Vermerk, Insiderliste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12_restructuring_starug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StaRUG-Memo, Insolvenzplan-Vergleich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13_wi_insurance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W&amp;I Underwriting Pack, KI-DD-Log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14_pmi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PMI 100-Tage-Plan, Synergy Tracker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15_board_billing_archive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Board Paper, Closing Bible Index, Billing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16_freestanding_core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Aktenanlage, Ordnerstruktur, Selftest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17_liquiditaet_insolvenz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Liquiditätsvorschau, Insolvenzreife-Check, Cash Bridge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18_billing_gobd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Billing-Narrativ, E-Rechnung, GoBD-Protokoll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Closing-Bible-Grundstruktur</w:t>
      </w:r>
    </w:p>
    <w:p>
      <w:pPr>
        <w:jc w:val="left"/>
      </w:pPr>
      <w:r>
        <w:t>Nach Closing wird die Closing Bible in folgender Grundstruktur erstellt:</w:t>
      </w:r>
    </w:p>
    <w:p>
      <w:pPr>
        <w:pStyle w:val="ListNumber"/>
      </w:pPr>
      <w:r>
        <w:t>Band I — Transaktionsdokumente (SPA, Disclosure Letter, Sideletter)</w:t>
      </w:r>
    </w:p>
    <w:p>
      <w:pPr>
        <w:pStyle w:val="ListNumber"/>
      </w:pPr>
      <w:r>
        <w:t>Band II — Behördliche Genehmigungen</w:t>
      </w:r>
    </w:p>
    <w:p>
      <w:pPr>
        <w:pStyle w:val="ListNumber"/>
      </w:pPr>
      <w:r>
        <w:t>Band III — Unternehmensrechtliche Dokumente</w:t>
      </w:r>
    </w:p>
    <w:p>
      <w:pPr>
        <w:pStyle w:val="ListNumber"/>
      </w:pPr>
      <w:r>
        <w:t>Band IV — Finanzierungsdokumente</w:t>
      </w:r>
    </w:p>
    <w:p>
      <w:pPr>
        <w:pStyle w:val="ListNumber"/>
      </w:pPr>
      <w:r>
        <w:t>Band V — Disclosure Schedules</w:t>
      </w:r>
    </w:p>
    <w:p>
      <w:pPr>
        <w:pStyle w:val="ListNumber"/>
      </w:pPr>
      <w:r>
        <w:t>Band VI — Sonstiges (Legal Opinions, Vollmachten, Historisches)</w:t>
      </w:r>
    </w:p>
    <w:p/>
    <w:p>
      <w:pPr>
        <w:pStyle w:val="Heading2"/>
      </w:pPr>
      <w:r>
        <w:rPr>
          <w:rFonts w:ascii="Times New Roman" w:hAnsi="Times New Roman"/>
        </w:rPr>
        <w:t>5. Skill-Erwartung — Selbständige Aktenanlage</w:t>
      </w:r>
    </w:p>
    <w:p>
      <w:pPr>
        <w:jc w:val="left"/>
      </w:pPr>
      <w:r>
        <w:t>Der M&amp;A-Kanzlei-Skill soll in der Lage sein, auf Basis folgender Eingaben selbständig eine vollständige Deal-Akte anzulegen:</w:t>
      </w:r>
    </w:p>
    <w:p>
      <w:pPr>
        <w:pStyle w:val="ListBullet"/>
      </w:pPr>
      <w:r>
        <w:t>Mandantenname</w:t>
      </w:r>
    </w:p>
    <w:p>
      <w:pPr>
        <w:pStyle w:val="ListBullet"/>
      </w:pPr>
      <w:r>
        <w:t>Target-Name</w:t>
      </w:r>
    </w:p>
    <w:p>
      <w:pPr>
        <w:pStyle w:val="ListBullet"/>
      </w:pPr>
      <w:r>
        <w:t>Transaktionstyp (Share Deal / Asset Deal / Carve-out)</w:t>
      </w:r>
    </w:p>
    <w:p>
      <w:pPr>
        <w:pStyle w:val="ListBullet"/>
      </w:pPr>
      <w:r>
        <w:t>EV / Kaufpreis</w:t>
      </w:r>
    </w:p>
    <w:p>
      <w:pPr>
        <w:pStyle w:val="ListBullet"/>
      </w:pPr>
      <w:r>
        <w:t>Rollenbezeichnung (Buy-side / Sell-side / Target Counsel)</w:t>
      </w:r>
    </w:p>
    <w:p>
      <w:pPr>
        <w:jc w:val="left"/>
      </w:pPr>
      <w:r>
        <w:rPr>
          <w:b/>
        </w:rPr>
        <w:t>Erwartete Ausgaben:</w:t>
      </w:r>
    </w:p>
    <w:p>
      <w:pPr>
        <w:pStyle w:val="ListNumber"/>
      </w:pPr>
      <w:r>
        <w:t>Aktenzeichen (kanzleiformat)</w:t>
      </w:r>
    </w:p>
    <w:p>
      <w:pPr>
        <w:pStyle w:val="ListNumber"/>
      </w:pPr>
      <w:r>
        <w:t>Vollständige Beteiligtenmatrix aus den bekannten Aktenangaben</w:t>
      </w:r>
    </w:p>
    <w:p>
      <w:pPr>
        <w:pStyle w:val="ListNumber"/>
      </w:pPr>
      <w:r>
        <w:t>Ordnerstruktur (Verzeichnisbaum)</w:t>
      </w:r>
    </w:p>
    <w:p>
      <w:pPr>
        <w:pStyle w:val="ListNumber"/>
      </w:pPr>
      <w:r>
        <w:t>CP-Kalender mit behördlichen Fristen</w:t>
      </w:r>
    </w:p>
    <w:p>
      <w:pPr>
        <w:pStyle w:val="ListNumber"/>
      </w:pPr>
      <w:r>
        <w:t>Closing-Bible-Grundstruktur</w:t>
      </w:r>
    </w:p>
    <w:p>
      <w:pPr>
        <w:pStyle w:val="ListNumber"/>
      </w:pPr>
      <w:r>
        <w:t>Erste Statusübersicht (Deal Briefing)</w:t>
      </w:r>
    </w:p>
    <w:p>
      <w:pPr>
        <w:jc w:val="left"/>
      </w:pPr>
      <w:r>
        <w:rPr>
          <w:b/>
        </w:rPr>
        <w:t>Besteht nur, wenn kein Verweis auf externe Plugins erforderlich.</w:t>
      </w:r>
    </w:p>
    <w:p/>
    <w:p>
      <w:pPr>
        <w:jc w:val="left"/>
      </w:pPr>
      <w:r>
        <w:rPr>
          <w:i/>
        </w:rPr>
        <w:t>Erstellt: 01.04.2026 | Partner A | Kanzlei — Privileged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