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Freestanding Workflow-Prüfvermerk — Projekt Silberfalke</w:t>
      </w:r>
    </w:p>
    <w:p>
      <w:pPr>
        <w:jc w:val="left"/>
      </w:pPr>
      <w:r>
        <w:rPr>
          <w:b/>
        </w:rPr>
        <w:t>Aktenzeichen:</w:t>
      </w:r>
      <w:r>
        <w:t xml:space="preserve"> MA-2026-SF-001</w:t>
      </w:r>
    </w:p>
    <w:p>
      <w:pPr>
        <w:jc w:val="left"/>
      </w:pPr>
      <w:r>
        <w:rPr>
          <w:b/>
        </w:rPr>
        <w:t>Erstellt:</w:t>
      </w:r>
      <w:r>
        <w:t xml:space="preserve"> 01.04.2026</w:t>
      </w:r>
    </w:p>
    <w:p>
      <w:pPr>
        <w:jc w:val="left"/>
      </w:pPr>
      <w:r>
        <w:rPr>
          <w:b/>
        </w:rPr>
        <w:t>Letzte Aktualisierung:</w:t>
      </w:r>
      <w:r>
        <w:t xml:space="preserve"> 20.05.2026</w:t>
      </w:r>
    </w:p>
    <w:p>
      <w:pPr>
        <w:jc w:val="left"/>
      </w:pPr>
      <w:r>
        <w:rPr>
          <w:b/>
        </w:rPr>
        <w:t>Zweck:</w:t>
      </w:r>
      <w:r>
        <w:t xml:space="preserve"> Nachweis, dass alle M&amp;A-Kern-Workflows ohne externe Plugin-Abhängigkeiten abgedeckt sind</w:t>
      </w:r>
    </w:p>
    <w:p/>
    <w:p>
      <w:pPr>
        <w:pStyle w:val="Heading2"/>
      </w:pPr>
      <w:r>
        <w:rPr>
          <w:rFonts w:ascii="Times New Roman" w:hAnsi="Times New Roman"/>
        </w:rPr>
        <w:t>1. Prüfkriterium</w:t>
      </w:r>
    </w:p>
    <w:p>
      <w:pPr>
        <w:jc w:val="left"/>
      </w:pPr>
      <w:r>
        <w:t>Der jeweilige Workflow ist freigegeben, wenn er alle nachfolgend genannten Arbeitsschritte aus dem eigenen Wissensstand heraus vollständig ausführen kann — ohne Verweis auf ein anderes Plugin, eine externe Datenbank oder ein externes Tool.</w:t>
      </w:r>
    </w:p>
    <w:p/>
    <w:p>
      <w:pPr>
        <w:pStyle w:val="Heading2"/>
      </w:pPr>
      <w:r>
        <w:rPr>
          <w:rFonts w:ascii="Times New Roman" w:hAnsi="Times New Roman"/>
        </w:rPr>
        <w:t>2. Skill-Checkliste und Testergebnis</w:t>
      </w:r>
    </w:p>
    <w:p>
      <w:pPr>
        <w:pStyle w:val="Heading3"/>
      </w:pPr>
      <w:r>
        <w:rPr>
          <w:rFonts w:ascii="Times New Roman" w:hAnsi="Times New Roman"/>
        </w:rPr>
        <w:t>grosskanzlei-ma-aktenanlage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Erwartetes 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Mandant + Target + Transaktionstyp → Aktenzeichen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Kanzleiformat MA-YYYY-[Code]-[Nr.]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Beteiligtenmatrix generieren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Vollständige Matrix mit Rollen, Parteien, Kontakten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CP-Kalender mit behördlichen Fristen ausgeben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BKartA, BMWK, ggf. EU-Fristen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Closing-Bible-Grundstruktur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5-Band-Struktur mit Tab-Ebene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grosskanzlei-ma-tabellenreview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Erwartetes 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Vertragsliste mit Ampel-Klassifizierung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Rot/Gelb/Grün je Risikodimension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Change-of-Control-Scan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Identifikation aller CoC-Klauseln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Material Adverse Change Bewertung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Schwellenwert-Check nach SPA-Definition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grosskanzlei-ma-liquiditaetsvorschau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Erwartetes 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13-Wochen-Cash-Bridge aus Rohdaten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Wöchentliche Spalten, Saldo, Kommentar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Kritische Wochen markieren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Negativsaldo-Alarm, Covenant-Waiver-Hinweis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Szenario-Analyse (Lieferstopp)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Sensitivitätsrechnung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grosskanzlei-ma-insolvenzreife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Erwartetes 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17 InsO Zahlungsunfähigkeit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Dreistufentest, nicht grün geben ohne Belege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18 InsO drohende Zahlungsunfähigkeit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24-Monats-Horizont, Datenlücken identifizieren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19 InsO Überschuldung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Fortbestehensprognose erforderlich, Anforderungsliste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StaRUG vs. InsO Abgrenzung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Entscheidungsbaum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grosskanzlei-ma-fristen-cp-kalender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Erwartetes 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Regulatorische Fristen (BKartA, BMWK)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Fristberechnung auf Basis Signing-Datum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Long-Stop-Date Warnfunktion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Alert wenn &lt; 30 Tage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CP-Status-Update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Tabellarische Übersicht mit Ampeln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grosskanzlei-ma-erechnung-gobd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Erwartetes 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Zeitnachweise → Billing-Narrativ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Mandantengerechtes Narrative Ledger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XRechnung-Datenblock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Strukturierter Datensatz (ohne PDF/A-3-Validierung)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GoBD-Protokoll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Rechnungsnummer, Änderungslog, Korrekturpfad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USt-Prüfung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Offen-Markierung wenn Leistungsort fehlt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grosskanzlei-ma-schreibcanvas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Erwartetes 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Aktenvermerk generieren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 mit AV-Nummer, Verfasser, Rubrum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SPA-Markupkommentar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Stichpunktkommentar je Klausel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Board Paper Outline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Vollständige Gliederung mit Zahlentabelle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Bestanden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Gesamtergebnis</w:t>
      </w:r>
    </w:p>
    <w:p>
      <w:pPr>
        <w:jc w:val="left"/>
      </w:pPr>
      <w:r>
        <w:rPr>
          <w:b/>
        </w:rPr>
        <w:t>Alle 7 Skill-Bereiche bestanden.</w:t>
      </w:r>
      <w:r>
        <w:t xml:space="preserve"> Kein Verweis auf externe Plugins notwendig.</w:t>
      </w:r>
    </w:p>
    <w:p/>
    <w:p>
      <w:pPr>
        <w:pStyle w:val="Heading2"/>
      </w:pPr>
      <w:r>
        <w:rPr>
          <w:rFonts w:ascii="Times New Roman" w:hAnsi="Times New Roman"/>
        </w:rPr>
        <w:t>4. Bekannte Einschränkungen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Bereich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Einschränkung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ZUGFeRD PDF/A-3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Validierung eines finalen PDF/A-3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Als Offen markiert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Live-Datenabfragen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Echtzeit-Handelsregister-Abruf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Manuelle Eingabe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Digitale Signatur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qualifiziertes elektronisches Siegel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Externe eIDAS-Plattform nötig</w:t>
            </w:r>
          </w:p>
        </w:tc>
      </w:tr>
    </w:tbl>
    <w:p/>
    <w:p>
      <w:pPr>
        <w:jc w:val="left"/>
      </w:pPr>
      <w:r>
        <w:rPr>
          <w:i/>
        </w:rPr>
        <w:t>Testdatum: 20.05.2026 | Kanzlei-intern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