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Billing / E-Rechnung / GoBD — Projekt Silberfalke</w:t>
      </w:r>
    </w:p>
    <w:p>
      <w:pPr>
        <w:jc w:val="left"/>
      </w:pPr>
      <w:r>
        <w:rPr>
          <w:b/>
        </w:rPr>
        <w:t>Aktenzeichen:</w:t>
      </w:r>
      <w:r>
        <w:t xml:space="preserve"> MA-2026-SF-001</w:t>
      </w:r>
    </w:p>
    <w:p>
      <w:pPr>
        <w:jc w:val="left"/>
      </w:pPr>
      <w:r>
        <w:rPr>
          <w:b/>
        </w:rPr>
        <w:t>Erstellt:</w:t>
      </w:r>
      <w:r>
        <w:t xml:space="preserve"> 20.05.2026</w:t>
      </w:r>
    </w:p>
    <w:p>
      <w:pPr>
        <w:jc w:val="left"/>
      </w:pPr>
      <w:r>
        <w:rPr>
          <w:b/>
        </w:rPr>
        <w:t>Verfasser:</w:t>
      </w:r>
      <w:r>
        <w:t xml:space="preserve"> Billing-Koordination Kanzlei (Counsel B)</w:t>
      </w:r>
    </w:p>
    <w:p>
      <w:pPr>
        <w:jc w:val="left"/>
      </w:pPr>
      <w:r>
        <w:rPr>
          <w:b/>
        </w:rPr>
        <w:t>Adressat:</w:t>
      </w:r>
      <w:r>
        <w:t xml:space="preserve"> Kanzlei-Management / Mandant Eagle Capital Partners</w:t>
      </w:r>
    </w:p>
    <w:p>
      <w:pPr>
        <w:jc w:val="left"/>
      </w:pPr>
      <w:r>
        <w:rPr>
          <w:b/>
        </w:rPr>
        <w:t>Status:</w:t>
      </w:r>
      <w:r>
        <w:t xml:space="preserve"> Arbeitsfassung — freigabe Mandant ausstehend</w:t>
      </w:r>
    </w:p>
    <w:p/>
    <w:p>
      <w:pPr>
        <w:pStyle w:val="Heading2"/>
      </w:pPr>
      <w:r>
        <w:rPr>
          <w:rFonts w:ascii="Times New Roman" w:hAnsi="Times New Roman"/>
        </w:rPr>
        <w:t>1. Überblick Abrechnungsstruktur</w:t>
      </w:r>
    </w:p>
    <w:p>
      <w:pPr>
        <w:pStyle w:val="Heading3"/>
      </w:pPr>
      <w:r>
        <w:rPr>
          <w:rFonts w:ascii="Times New Roman" w:hAnsi="Times New Roman"/>
        </w:rPr>
        <w:t>1.1 Workstream-Aufteilung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Workstream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Verantwortlicher Partner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Abgerechnet über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Structure / Tax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Partner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Kanzlei-Rechnung 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Due Diligence (Legal)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Partner A / Counsel 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Kanzlei-Rechnung 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 / Closing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Counsel 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Kanzlei-Rechnung 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Regulatory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Meiners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Kanzlei-Rechnung 2 (Regulatory Group)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 / Kapitalmarkt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Kessler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Kanzlei-Rechnung 3 (Kapitalmarkt)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Restrukturierung /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Counsel 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Kanzlei-Rechnung 4 (Restrukturierung)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1.2 Abrechnungszeitraum</w:t>
      </w:r>
    </w:p>
    <w:p>
      <w:pPr>
        <w:jc w:val="left"/>
      </w:pPr>
      <w:r>
        <w:t>Erste Teilrechnung: 01.04.2026 – 31.05.2026</w:t>
      </w:r>
    </w:p>
    <w:p>
      <w:pPr>
        <w:jc w:val="left"/>
      </w:pPr>
      <w:r>
        <w:t>Zweite Teilrechnung: 01.06.2026 – Signing (bereits abgerechnet)</w:t>
      </w:r>
    </w:p>
    <w:p>
      <w:pPr>
        <w:jc w:val="left"/>
      </w:pPr>
      <w:r>
        <w:t>Abschlussrechnung: Post-Closing</w:t>
      </w:r>
    </w:p>
    <w:p/>
    <w:p>
      <w:pPr>
        <w:pStyle w:val="Heading2"/>
      </w:pPr>
      <w:r>
        <w:rPr>
          <w:rFonts w:ascii="Times New Roman" w:hAnsi="Times New Roman"/>
        </w:rPr>
        <w:t>2. Narrative Ledger (Mandantengerechte Leistungsbeschreibungen)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Stunden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Narrative (mandantentauglich)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Betrag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Partner 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Structure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1,8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Rechtsberatung zur Transaktionsstruktur; Analyse Share Deal vs. Asset Deal und Carve-out-Varianten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1.170,00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Associate 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4,6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Vertragsreview kommerzielle Schlüsselverträge; Erstellung der Red-Flag-Analyse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1.288,00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Associate 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Regulatory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2,9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Fusionskontroll- und Außenwirtschaftsrecht-Erstanalyse; Erstellung Regulatory Map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812,00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Partner 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2,2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Erarbeitung der wesentlichen Vertragsparameter; Abstimmung mit Eagle Counsel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1.430,00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Associate 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Closing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3,4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Aufbau Closing-Checkliste und CP-Register; Closing-Koordination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952,00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Counsel 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W&amp;I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Beratung zur W&amp;I-Versicherungsstruktur; Abstimmung mit Versicherungsmakler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630,00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Associate 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Regulatory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3,2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Vertiefende Außenwirtschaftsrecht-Analyse; FDI-Sektoreinstufung Solaris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896,00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Partner 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1,2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Kapitalmarktrechtliche Beratung; Marktmissbrauchsrecht-Memo für Nordstern 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780,00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Counsel 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Closing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1,8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Ordinary-Course-Monitoring; Consent-Prozess Lieferantenvertrag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756,00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Associate 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PMI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Koordination PMI-Planung; Strukturierung des 100-Tage-Plans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700,00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25,1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9.414,00</w:t>
            </w:r>
          </w:p>
        </w:tc>
      </w:tr>
    </w:tbl>
    <w:p>
      <w:pPr>
        <w:ind w:left="567"/>
      </w:pPr>
      <w:r>
        <w:rPr>
          <w:b/>
          <w:i/>
        </w:rPr>
        <w:t>Hinweis:</w:t>
      </w:r>
      <w:r>
        <w:rPr>
          <w:i/>
        </w:rPr>
        <w:t xml:space="preserve"> Die Leistungsbeschreibungen enthalten keine mandatsspezifischen Einzelheiten, die das Mandatsgeheimnis verletzen könnten. Strategische Beratungsinhalte sind nicht offengelegt. Umsatzsteuer: Offen — Leistungsort und Mandantenstatus (§ 13b UStG) noch zu prüfen.</w:t>
      </w:r>
    </w:p>
    <w:p/>
    <w:p>
      <w:pPr>
        <w:pStyle w:val="Heading2"/>
      </w:pPr>
      <w:r>
        <w:rPr>
          <w:rFonts w:ascii="Times New Roman" w:hAnsi="Times New Roman"/>
        </w:rPr>
        <w:t>3. XRechnung-Datenblock (Strukturentwurf)</w:t>
      </w:r>
    </w:p>
    <w:p>
      <w:pPr>
        <w:jc w:val="left"/>
      </w:pPr>
      <w:r>
        <w:t>```xml</w:t>
      </w:r>
    </w:p>
    <w:p>
      <w:pPr>
        <w:jc w:val="left"/>
      </w:pPr>
      <w:r>
        <w:t>&lt;Invoice xmlns="urn:oasis:names:specification:ubl:schema:xsd:Invoice-2"&gt;</w:t>
      </w:r>
    </w:p>
    <w:p>
      <w:pPr>
        <w:jc w:val="left"/>
      </w:pPr>
      <w:r>
        <w:t>&lt;ID&gt;KZ-MA-2026-SF-001-R1&lt;/ID&gt;</w:t>
      </w:r>
    </w:p>
    <w:p>
      <w:pPr>
        <w:jc w:val="left"/>
      </w:pPr>
      <w:r>
        <w:t>&lt;IssueDate&gt;2026-05-31&lt;/IssueDate&gt;</w:t>
      </w:r>
    </w:p>
    <w:p>
      <w:pPr>
        <w:jc w:val="left"/>
      </w:pPr>
      <w:r>
        <w:t>&lt;DueDate&gt;2026-06-30&lt;/DueDate&gt;</w:t>
      </w:r>
    </w:p>
    <w:p>
      <w:pPr>
        <w:jc w:val="left"/>
      </w:pPr>
      <w:r>
        <w:t>&lt;InvoiceTypeCode&gt;380&lt;/InvoiceTypeCode&gt;</w:t>
      </w:r>
    </w:p>
    <w:p>
      <w:pPr>
        <w:jc w:val="left"/>
      </w:pPr>
      <w:r>
        <w:t>&lt;DocumentCurrencyCode&gt;EUR&lt;/DocumentCurrencyCode&gt;</w:t>
      </w:r>
    </w:p>
    <w:p>
      <w:pPr>
        <w:jc w:val="left"/>
      </w:pPr>
      <w:r>
        <w:t>&lt;AccountingSupplierParty&gt;</w:t>
      </w:r>
    </w:p>
    <w:p>
      <w:pPr>
        <w:jc w:val="left"/>
      </w:pPr>
      <w:r>
        <w:t>&lt;Party&gt;</w:t>
      </w:r>
    </w:p>
    <w:p>
      <w:pPr>
        <w:jc w:val="left"/>
      </w:pPr>
      <w:r>
        <w:t>&lt;PartyName&gt;&lt;Name&gt;[Kanzleiname]&lt;/Name&gt;&lt;/PartyName&gt;</w:t>
      </w:r>
    </w:p>
    <w:p>
      <w:pPr>
        <w:jc w:val="left"/>
      </w:pPr>
      <w:r>
        <w:t>&lt;PostalAddress&gt;</w:t>
      </w:r>
    </w:p>
    <w:p>
      <w:pPr>
        <w:jc w:val="left"/>
      </w:pPr>
      <w:r>
        <w:t>&lt;StreetName&gt;[Kanzleiadresse]&lt;/StreetName&gt;</w:t>
      </w:r>
    </w:p>
    <w:p>
      <w:pPr>
        <w:jc w:val="left"/>
      </w:pPr>
      <w:r>
        <w:t>&lt;CityName&gt;Frankfurt am Main&lt;/CityName&gt;</w:t>
      </w:r>
    </w:p>
    <w:p>
      <w:pPr>
        <w:jc w:val="left"/>
      </w:pPr>
      <w:r>
        <w:t>&lt;PostalZone&gt;60311&lt;/PostalZone&gt;</w:t>
      </w:r>
    </w:p>
    <w:p>
      <w:pPr>
        <w:jc w:val="left"/>
      </w:pPr>
      <w:r>
        <w:t>&lt;Country&gt;&lt;IdentificationCode&gt;DE&lt;/IdentificationCode&gt;&lt;/Country&gt;</w:t>
      </w:r>
    </w:p>
    <w:p>
      <w:pPr>
        <w:jc w:val="left"/>
      </w:pPr>
      <w:r>
        <w:t>&lt;/PostalAddress&gt;</w:t>
      </w:r>
    </w:p>
    <w:p>
      <w:pPr>
        <w:jc w:val="left"/>
      </w:pPr>
      <w:r>
        <w:t>&lt;/Party&gt;</w:t>
      </w:r>
    </w:p>
    <w:p>
      <w:pPr>
        <w:jc w:val="left"/>
      </w:pPr>
      <w:r>
        <w:t>&lt;/AccountingSupplierParty&gt;</w:t>
      </w:r>
    </w:p>
    <w:p>
      <w:pPr>
        <w:jc w:val="left"/>
      </w:pPr>
      <w:r>
        <w:t>&lt;AccountingCustomerParty&gt;</w:t>
      </w:r>
    </w:p>
    <w:p>
      <w:pPr>
        <w:jc w:val="left"/>
      </w:pPr>
      <w:r>
        <w:t>&lt;Party&gt;</w:t>
      </w:r>
    </w:p>
    <w:p>
      <w:pPr>
        <w:jc w:val="left"/>
      </w:pPr>
      <w:r>
        <w:t>&lt;PartyName&gt;&lt;Name&gt;Eagle Capital Partners Fund V GmbH Co. KG&lt;/Name&gt;&lt;/PartyName&gt;</w:t>
      </w:r>
    </w:p>
    <w:p>
      <w:pPr>
        <w:jc w:val="left"/>
      </w:pPr>
      <w:r>
        <w:t>&lt;PostalAddress&gt;</w:t>
      </w:r>
    </w:p>
    <w:p>
      <w:pPr>
        <w:jc w:val="left"/>
      </w:pPr>
      <w:r>
        <w:t>&lt;StreetName&gt;Eschersheimer Landstrasse 12&lt;/StreetName&gt;</w:t>
      </w:r>
    </w:p>
    <w:p>
      <w:pPr>
        <w:jc w:val="left"/>
      </w:pPr>
      <w:r>
        <w:t>&lt;CityName&gt;Frankfurt am Main&lt;/CityName&gt;</w:t>
      </w:r>
    </w:p>
    <w:p>
      <w:pPr>
        <w:jc w:val="left"/>
      </w:pPr>
      <w:r>
        <w:t>&lt;PostalZone&gt;60322&lt;/PostalZone&gt;</w:t>
      </w:r>
    </w:p>
    <w:p>
      <w:pPr>
        <w:jc w:val="left"/>
      </w:pPr>
      <w:r>
        <w:t>&lt;Country&gt;&lt;IdentificationCode&gt;DE&lt;/IdentificationCode&gt;&lt;/Country&gt;</w:t>
      </w:r>
    </w:p>
    <w:p>
      <w:pPr>
        <w:jc w:val="left"/>
      </w:pPr>
      <w:r>
        <w:t>&lt;/PostalAddress&gt;</w:t>
      </w:r>
    </w:p>
    <w:p>
      <w:pPr>
        <w:jc w:val="left"/>
      </w:pPr>
      <w:r>
        <w:t>&lt;/Party&gt;</w:t>
      </w:r>
    </w:p>
    <w:p>
      <w:pPr>
        <w:jc w:val="left"/>
      </w:pPr>
      <w:r>
        <w:t>&lt;/AccountingCustomerParty&gt;</w:t>
      </w:r>
    </w:p>
    <w:p>
      <w:pPr>
        <w:jc w:val="left"/>
      </w:pPr>
      <w:r>
        <w:t>&lt;LegalMonetaryTotal&gt;</w:t>
      </w:r>
    </w:p>
    <w:p>
      <w:pPr>
        <w:jc w:val="left"/>
      </w:pPr>
      <w:r>
        <w:t>&lt;LineExtensionAmount currencyID="EUR"&gt;9414.00&lt;/LineExtensionAmount&gt;</w:t>
      </w:r>
    </w:p>
    <w:p>
      <w:pPr>
        <w:jc w:val="left"/>
      </w:pPr>
      <w:r>
        <w:t>&lt;TaxExclusiveAmount currencyID="EUR"&gt;9414.00&lt;/TaxExclusiveAmount&gt;</w:t>
      </w:r>
    </w:p>
    <w:p>
      <w:pPr>
        <w:jc w:val="left"/>
      </w:pPr>
      <w:r>
        <w:t>&lt;PayableAmount currencyID="EUR"&gt;9414.00&lt;/PayableAmount&gt;</w:t>
      </w:r>
    </w:p>
    <w:p>
      <w:pPr>
        <w:jc w:val="left"/>
      </w:pPr>
      <w:r>
        <w:t>&lt;/LegalMonetaryTotal&gt;</w:t>
      </w:r>
    </w:p>
    <w:p>
      <w:pPr>
        <w:jc w:val="left"/>
      </w:pPr>
      <w:r>
        <w:t>&lt;/Invoice&gt;</w:t>
      </w:r>
    </w:p>
    <w:p>
      <w:pPr>
        <w:jc w:val="left"/>
      </w:pPr>
      <w:r>
        <w:t>```</w:t>
      </w:r>
    </w:p>
    <w:p>
      <w:pPr>
        <w:ind w:left="567"/>
      </w:pPr>
      <w:r>
        <w:rPr>
          <w:b/>
          <w:i/>
        </w:rPr>
        <w:t>Offen:</w:t>
      </w:r>
      <w:r>
        <w:rPr>
          <w:i/>
        </w:rPr>
        <w:t xml:space="preserve"> Umsatzsteuerlogik noch offen. Wenn Eagle Capital Partners Fund V als Unternehmer im Inland gilt (§ 3a Abs. 2 UStG), schuldet Mandant USt nach § 13b UStG. Bestätigung Mandantenstatus anfordern.</w:t>
      </w:r>
    </w:p>
    <w:p/>
    <w:p>
      <w:pPr>
        <w:pStyle w:val="Heading2"/>
      </w:pPr>
      <w:r>
        <w:rPr>
          <w:rFonts w:ascii="Times New Roman" w:hAnsi="Times New Roman"/>
        </w:rPr>
        <w:t>4. GoBD-Protokoll</w:t>
      </w:r>
    </w:p>
    <w:p>
      <w:pPr>
        <w:jc w:val="left"/>
      </w:pPr>
      <w:r>
        <w:rPr>
          <w:b/>
        </w:rPr>
        <w:t>Rechnungsnummer:</w:t>
      </w:r>
      <w:r>
        <w:t xml:space="preserve"> KZ-MA-2026-SF-001-R1</w:t>
      </w:r>
    </w:p>
    <w:p>
      <w:pPr>
        <w:jc w:val="left"/>
      </w:pPr>
      <w:r>
        <w:rPr>
          <w:b/>
        </w:rPr>
        <w:t>Erstellt:</w:t>
      </w:r>
      <w:r>
        <w:t xml:space="preserve"> 31.05.2026</w:t>
      </w:r>
    </w:p>
    <w:p>
      <w:pPr>
        <w:jc w:val="left"/>
      </w:pPr>
      <w:r>
        <w:rPr>
          <w:b/>
        </w:rPr>
        <w:t>Erstellt von:</w:t>
      </w:r>
      <w:r>
        <w:t xml:space="preserve"> Billing Counsel B</w:t>
      </w:r>
    </w:p>
    <w:p>
      <w:pPr>
        <w:jc w:val="left"/>
      </w:pPr>
      <w:r>
        <w:rPr>
          <w:b/>
        </w:rPr>
        <w:t>System:</w:t>
      </w:r>
      <w:r>
        <w:t xml:space="preserve"> Kanzlei-DMS (Legalware Pro, Version 4.2)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Handelnde Person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Entwurf erstellt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Counsel 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Rohentwurf im DMS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Partner-Review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Partner 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Freigabe mit Änderungen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Überarbeitung Narrative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Counsel 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Anpassung Leistungsbeschreibung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Mandantenfreigabe angefordert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Billing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Rechnungsversand (geplant)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Billing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Korrekturpfad</w:t>
      </w:r>
    </w:p>
    <w:p>
      <w:pPr>
        <w:jc w:val="left"/>
      </w:pPr>
      <w:r>
        <w:t>Sollte nach Rechnungsversand eine Korrektur notwendig sein:</w:t>
      </w:r>
    </w:p>
    <w:p>
      <w:pPr>
        <w:pStyle w:val="ListNumber"/>
      </w:pPr>
      <w:r>
        <w:t>Stornierung der Originalrechnung mit Stornobeleg (Dokument-ID KZ-MA-2026-SF-001-R1-STORNO)</w:t>
      </w:r>
    </w:p>
    <w:p>
      <w:pPr>
        <w:pStyle w:val="ListNumber"/>
      </w:pPr>
      <w:r>
        <w:t>Erstellung einer korrigierten Rechnung mit neuer fortlaufender Nummer</w:t>
      </w:r>
    </w:p>
    <w:p>
      <w:pPr>
        <w:pStyle w:val="ListNumber"/>
      </w:pPr>
      <w:r>
        <w:t>Eintrag im Änderungslog (diese Tabelle)</w:t>
      </w:r>
    </w:p>
    <w:p>
      <w:pPr>
        <w:pStyle w:val="ListNumber"/>
      </w:pPr>
      <w:r>
        <w:t>Aufbewahrungsfrist: 10 Jahre nach Buchungsdatum (§ 147 AO)</w:t>
      </w:r>
    </w:p>
    <w:p>
      <w:pPr>
        <w:pStyle w:val="Heading3"/>
      </w:pPr>
      <w:r>
        <w:rPr>
          <w:rFonts w:ascii="Times New Roman" w:hAnsi="Times New Roman"/>
        </w:rPr>
        <w:t>Aufbewahrungshinweis (§ 147 AO / GoBD)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Dokumenttyp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Format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Zeitnachweise (Rohdaten)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CSV + PDF gesichert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Ausgangsrechnung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XRechnung / PDF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GoBD-Protokoll (dieses Dokument)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MD + PDF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E-Mail-Kommunikation Mandant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Archiv-System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ZUGFeRD-Prüfpaket</w:t>
      </w:r>
    </w:p>
    <w:p>
      <w:pPr>
        <w:ind w:left="567"/>
      </w:pPr>
      <w:r>
        <w:rPr>
          <w:b/>
          <w:i/>
        </w:rPr>
        <w:t>Klarstellung:</w:t>
      </w:r>
      <w:r>
        <w:rPr>
          <w:i/>
        </w:rPr>
        <w:t xml:space="preserve"> Das nachfolgende ist ein </w:t>
      </w:r>
      <w:r>
        <w:rPr>
          <w:b/>
          <w:i/>
        </w:rPr>
        <w:t>Prüfpaket</w:t>
      </w:r>
      <w:r>
        <w:rPr>
          <w:i/>
        </w:rPr>
        <w:t>, kein final validiertes ZUGFeRD-konformes PDF/A-3-Dokument. Für ein finales ZUGFeRD-Dokument ist eine zertifizierte Erstellungssoftware erforderlich (z.B. Mustang Library oder kommerzielle Kanzlei-Software).</w:t>
      </w:r>
    </w:p>
    <w:p>
      <w:pPr>
        <w:jc w:val="left"/>
      </w:pPr>
      <w:r>
        <w:t>Für die Erstellung des finalen ZUGFeRD-Dokuments sind folgende Schritte vorgesehen:</w:t>
      </w:r>
    </w:p>
    <w:p>
      <w:pPr>
        <w:pStyle w:val="ListNumber"/>
      </w:pPr>
      <w:r>
        <w:t>XRechnung-Datenblock (oben) finalisieren</w:t>
      </w:r>
    </w:p>
    <w:p>
      <w:pPr>
        <w:pStyle w:val="ListNumber"/>
      </w:pPr>
      <w:r>
        <w:t>PDF-Rechnungsdokument aus Kanzlei-DMS exportieren</w:t>
      </w:r>
    </w:p>
    <w:p>
      <w:pPr>
        <w:pStyle w:val="ListNumber"/>
      </w:pPr>
      <w:r>
        <w:t>XRechnung-XML in PDF/A-3 einbetten (ZUGFeRD 2.1 Profil EN 16931)</w:t>
      </w:r>
    </w:p>
    <w:p>
      <w:pPr>
        <w:pStyle w:val="ListNumber"/>
      </w:pPr>
      <w:r>
        <w:t>Validierung mit ZUGFeRD-Validator (z.B. Mustang Validator)</w:t>
      </w:r>
    </w:p>
    <w:p>
      <w:pPr>
        <w:pStyle w:val="ListNumber"/>
      </w:pPr>
      <w:r>
        <w:t>Versand per E-Mail oder DE-Mail an Mandanten</w:t>
      </w:r>
    </w:p>
    <w:p/>
    <w:p>
      <w:pPr>
        <w:jc w:val="left"/>
      </w:pPr>
      <w:r>
        <w:rPr>
          <w:i/>
        </w:rPr>
        <w:t>GoBD-Protokoll-Nr.: GBD-MA-2026-SF-001-R1 | Kanzlei-intern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