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Aktenvermerk Grundbuchlage</w:t>
      </w:r>
    </w:p>
    <w:p>
      <w:pPr>
        <w:jc w:val="left"/>
      </w:pPr>
      <w:r>
        <w:t>Kaufobjekt: Flurstück 88/14, Gemarkung Altenau, bebaut mit Wohnhaus und kleiner Werkstatt. Verkäuferin ist die Erbengemeinschaft nach Balduin Kruse. Käuferin ist die Morgenrot Wohnbau GmbH.</w:t>
      </w:r>
    </w:p>
    <w:p>
      <w:pPr>
        <w:jc w:val="left"/>
      </w:pPr>
      <w:r>
        <w:t>Problem: In Abteilung II steht ein Wegerecht zugunsten des Nachbargrundstücks, das im Exposé nur als „alte Zufahrt“ bezeichnet wurde. In Abteilung III steht eine Briefgrundschuld der Nordharz Bank von 1998. Der Brief ist nicht auffindbar. Die Käuferbank verlangt Löschung vor Auszahlung oder ein belastbares Aufgebotskonzept.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