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Grundbuchamtsakte Briefgrundschuld und Wegerecht</w:t>
      </w:r>
    </w:p>
    <w:p>
      <w:pPr>
        <w:pStyle w:val="Heading2"/>
      </w:pPr>
      <w:r>
        <w:rPr>
          <w:rFonts w:ascii="Times New Roman" w:hAnsi="Times New Roman"/>
        </w:rPr>
        <w:t>Vollständige Gesprächsnotiz</w:t>
      </w:r>
    </w:p>
    <w:p>
      <w:pPr>
        <w:jc w:val="left"/>
      </w:pPr>
      <w:r>
        <w:t>Am 04.06.2026 schilderte Käuferin Inga Rehfeld und Notar Dr. Brandt die Angelegenheit in einem längeren Telefonat. Gegenstand ist Verlorener Grundschuldbrief, altes Wegerecht in Abteilung II, Zwischenverfügung des Grundbuchamts und Aufgebotsverfahren vor Kaufpreisfälligkeit.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Der Verkäufer behauptet, der Brief sei “irgendwo in der Scheune” verloren gegangen. Die Käuferbank verlangt lastenfreie Umschreibung, übersieht aber zunächst das Geh- und Fahrtrecht zugunsten des Nachbargrundstücks. Das Grundbuchamt fordert eine lückenlose Erklärung zur Briefsuche.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des Notariats an Käuferin, Bank und Verkäufer</w:t>
      </w:r>
    </w:p>
    <w:p>
      <w:pPr>
        <w:jc w:val="left"/>
      </w:pPr>
      <w:r>
        <w:t>```</w:t>
      </w:r>
    </w:p>
    <w:p>
      <w:pPr>
        <w:jc w:val="left"/>
      </w:pPr>
      <w:r>
        <w:t>Von:      notariat@brandt-altenau.test</w:t>
      </w:r>
    </w:p>
    <w:p>
      <w:pPr>
        <w:jc w:val="left"/>
      </w:pPr>
      <w:r>
        <w:t>An:       inga.rehfeld@testmail.test; kreditservice@bank.test</w:t>
      </w:r>
    </w:p>
    <w:p>
      <w:pPr>
        <w:jc w:val="left"/>
      </w:pPr>
      <w:r>
        <w:t>Datum:    Do 04.06.2026, 08:47 Uhr</w:t>
      </w:r>
    </w:p>
    <w:p>
      <w:pPr>
        <w:jc w:val="left"/>
      </w:pPr>
      <w:r>
        <w:t>Betreff:  Kauf Altenau 7 - Grundschuldbrief fehlt / Wegerecht muss vor Fälligkeit geklärt werden</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erklären Sie die Ranglage, die Zwischenverfügung und den realistischen Zeitplan bis zur Kaufpreisfälligkeit.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Käuferin Inga Rehfeld und Notar Dr. Brandt</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Nachweis- und Aufgebotsvermerk</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