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Review Tax-Indemnity und Escrow</w:t>
      </w:r>
    </w:p>
    <w:p>
      <w:pPr>
        <w:pStyle w:val="Heading2"/>
      </w:pPr>
      <w:r>
        <w:rPr>
          <w:rFonts w:ascii="Times New Roman" w:hAnsi="Times New Roman"/>
        </w:rPr>
        <w:t>Kurzbefund</w:t>
      </w:r>
    </w:p>
    <w:p>
      <w:pPr>
        <w:jc w:val="left"/>
      </w:pPr>
      <w:r>
        <w:t>Die SPA-Klauseln 17.3 -- 17.8 sind für eine einfache Closing-GrESt brauchbar, aber für das aktuelle Doppelbesteuerungsrisiko und die jetzige BFH-AdV-Konstellation nicht ausreichend präzise. Es fehlt eine klare Regel für:</w:t>
      </w:r>
    </w:p>
    <w:p>
      <w:pPr>
        <w:pStyle w:val="ListBullet"/>
      </w:pPr>
      <w:r>
        <w:t>zusätzliche Festsetzungen aus dem Auseinanderfallen von Signing und Closing,</w:t>
      </w:r>
    </w:p>
    <w:p>
      <w:pPr>
        <w:pStyle w:val="ListBullet"/>
      </w:pPr>
      <w:r>
        <w:t>die Lastentragung der Vorab-Umstrukturierung (§ 6a-Risiko),</w:t>
      </w:r>
    </w:p>
    <w:p>
      <w:pPr>
        <w:pStyle w:val="ListBullet"/>
      </w:pPr>
      <w:r>
        <w:t>Anträge nach § 16 GrEStG (Rückgängigmachung),</w:t>
      </w:r>
    </w:p>
    <w:p>
      <w:pPr>
        <w:pStyle w:val="ListBullet"/>
      </w:pPr>
      <w:r>
        <w:t>Sicherheitsleistungen im AdV-Verfahren,</w:t>
      </w:r>
    </w:p>
    <w:p>
      <w:pPr>
        <w:pStyle w:val="ListBullet"/>
      </w:pPr>
      <w:r>
        <w:t>die Behandlung von Säumniszuschlägen und Verzugszinsen,</w:t>
      </w:r>
    </w:p>
    <w:p>
      <w:pPr>
        <w:pStyle w:val="ListBullet"/>
      </w:pPr>
      <w:r>
        <w:t>die Übersetzungs- und Beweismittelkosten bei deutschen Finanzbehörden.</w:t>
      </w:r>
    </w:p>
    <w:p>
      <w:pPr>
        <w:pStyle w:val="Heading2"/>
      </w:pPr>
      <w:r>
        <w:rPr>
          <w:rFonts w:ascii="Times New Roman" w:hAnsi="Times New Roman"/>
        </w:rPr>
        <w:t>Risiken im Einzelnen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Risiko</w:t>
            </w:r>
          </w:p>
        </w:tc>
        <w:tc>
          <w:tcPr>
            <w:tcW w:type="dxa" w:w="2268"/>
          </w:tcPr>
          <w:p>
            <w:r>
              <w:rPr>
                <w:rFonts w:ascii="Times New Roman" w:hAnsi="Times New Roman"/>
                <w:b/>
                <w:sz w:val="20"/>
              </w:rPr>
              <w:t>Klausel SPA</w:t>
            </w:r>
          </w:p>
        </w:tc>
        <w:tc>
          <w:tcPr>
            <w:tcW w:type="dxa" w:w="2268"/>
          </w:tcPr>
          <w:p>
            <w:r>
              <w:rPr>
                <w:rFonts w:ascii="Times New Roman" w:hAnsi="Times New Roman"/>
                <w:b/>
                <w:sz w:val="20"/>
              </w:rPr>
              <w:t>Bewertung</w:t>
            </w:r>
          </w:p>
        </w:tc>
        <w:tc>
          <w:tcPr>
            <w:tcW w:type="dxa" w:w="2268"/>
          </w:tcPr>
          <w:p>
            <w:r>
              <w:rPr>
                <w:rFonts w:ascii="Times New Roman" w:hAnsi="Times New Roman"/>
                <w:b/>
                <w:sz w:val="20"/>
              </w:rPr>
              <w:t>Vorschlag</w:t>
            </w:r>
          </w:p>
        </w:tc>
      </w:tr>
      <w:tr>
        <w:tc>
          <w:tcPr>
            <w:tcW w:type="dxa" w:w="2268"/>
          </w:tcPr>
          <w:p>
            <w:r>
              <w:rPr>
                <w:rFonts w:ascii="Times New Roman" w:hAnsi="Times New Roman"/>
                <w:sz w:val="20"/>
              </w:rPr>
              <w:t>Signing-Festsetzung gegen Käuferin</w:t>
            </w:r>
          </w:p>
        </w:tc>
        <w:tc>
          <w:tcPr>
            <w:tcW w:type="dxa" w:w="2268"/>
          </w:tcPr>
          <w:p>
            <w:r>
              <w:rPr>
                <w:rFonts w:ascii="Times New Roman" w:hAnsi="Times New Roman"/>
                <w:sz w:val="20"/>
              </w:rPr>
              <w:t>17.3 ("solely at Closing")</w:t>
            </w:r>
          </w:p>
        </w:tc>
        <w:tc>
          <w:tcPr>
            <w:tcW w:type="dxa" w:w="2268"/>
          </w:tcPr>
          <w:p>
            <w:r>
              <w:rPr>
                <w:rFonts w:ascii="Times New Roman" w:hAnsi="Times New Roman"/>
                <w:sz w:val="20"/>
              </w:rPr>
              <w:t>offen, vom Wortlaut nicht erfasst</w:t>
            </w:r>
          </w:p>
        </w:tc>
        <w:tc>
          <w:tcPr>
            <w:tcW w:type="dxa" w:w="2268"/>
          </w:tcPr>
          <w:p>
            <w:r>
              <w:rPr>
                <w:rFonts w:ascii="Times New Roman" w:hAnsi="Times New Roman"/>
                <w:sz w:val="20"/>
              </w:rPr>
              <w:t>ausdrücklich als Transaction Transfer Tax erfassen, Wort "solely" streichen</w:t>
            </w:r>
          </w:p>
        </w:tc>
      </w:tr>
      <w:tr>
        <w:tc>
          <w:tcPr>
            <w:tcW w:type="dxa" w:w="2268"/>
          </w:tcPr>
          <w:p>
            <w:r>
              <w:rPr>
                <w:rFonts w:ascii="Times New Roman" w:hAnsi="Times New Roman"/>
                <w:sz w:val="20"/>
              </w:rPr>
              <w:t>Festsetzung gegen Zielgesellschaft (§ 1 Abs. 2b -- Steuerschuldnerin ist die Gesellschaft selbst, § 13 Nr. 7 GrEStG)</w:t>
            </w:r>
          </w:p>
        </w:tc>
        <w:tc>
          <w:tcPr>
            <w:tcW w:type="dxa" w:w="2268"/>
          </w:tcPr>
          <w:p>
            <w:r>
              <w:rPr>
                <w:rFonts w:ascii="Times New Roman" w:hAnsi="Times New Roman"/>
                <w:sz w:val="20"/>
              </w:rPr>
              <w:t>17.4 / 17.5</w:t>
            </w:r>
          </w:p>
        </w:tc>
        <w:tc>
          <w:tcPr>
            <w:tcW w:type="dxa" w:w="2268"/>
          </w:tcPr>
          <w:p>
            <w:r>
              <w:rPr>
                <w:rFonts w:ascii="Times New Roman" w:hAnsi="Times New Roman"/>
                <w:sz w:val="20"/>
              </w:rPr>
              <w:t>offen; Zielgesellschaft ist nicht eigene Vertragspartei</w:t>
            </w:r>
          </w:p>
        </w:tc>
        <w:tc>
          <w:tcPr>
            <w:tcW w:type="dxa" w:w="2268"/>
          </w:tcPr>
          <w:p>
            <w:r>
              <w:rPr>
                <w:rFonts w:ascii="Times New Roman" w:hAnsi="Times New Roman"/>
                <w:sz w:val="20"/>
              </w:rPr>
              <w:t xml:space="preserve">Freistellung </w:t>
            </w:r>
            <w:r>
              <w:rPr>
                <w:rFonts w:ascii="Times New Roman" w:hAnsi="Times New Roman"/>
                <w:b/>
                <w:sz w:val="20"/>
              </w:rPr>
              <w:t>zugunsten Company</w:t>
            </w:r>
            <w:r>
              <w:rPr>
                <w:rFonts w:ascii="Times New Roman" w:hAnsi="Times New Roman"/>
                <w:sz w:val="20"/>
              </w:rPr>
              <w:t xml:space="preserve"> ausdrücklich ergänzen, da Tochter nach Closing wirtschaftlich Käuferin</w:t>
            </w:r>
          </w:p>
        </w:tc>
      </w:tr>
      <w:tr>
        <w:tc>
          <w:tcPr>
            <w:tcW w:type="dxa" w:w="2268"/>
          </w:tcPr>
          <w:p>
            <w:r>
              <w:rPr>
                <w:rFonts w:ascii="Times New Roman" w:hAnsi="Times New Roman"/>
                <w:sz w:val="20"/>
              </w:rPr>
              <w:t>§ 16-Antrag und Mitwirkung Verkäuferin</w:t>
            </w:r>
          </w:p>
        </w:tc>
        <w:tc>
          <w:tcPr>
            <w:tcW w:type="dxa" w:w="2268"/>
          </w:tcPr>
          <w:p>
            <w:r>
              <w:rPr>
                <w:rFonts w:ascii="Times New Roman" w:hAnsi="Times New Roman"/>
                <w:sz w:val="20"/>
              </w:rPr>
              <w:t>17.5</w:t>
            </w:r>
          </w:p>
        </w:tc>
        <w:tc>
          <w:tcPr>
            <w:tcW w:type="dxa" w:w="2268"/>
          </w:tcPr>
          <w:p>
            <w:r>
              <w:rPr>
                <w:rFonts w:ascii="Times New Roman" w:hAnsi="Times New Roman"/>
                <w:sz w:val="20"/>
              </w:rPr>
              <w:t>ungeregelt</w:t>
            </w:r>
          </w:p>
        </w:tc>
        <w:tc>
          <w:tcPr>
            <w:tcW w:type="dxa" w:w="2268"/>
          </w:tcPr>
          <w:p>
            <w:r>
              <w:rPr>
                <w:rFonts w:ascii="Times New Roman" w:hAnsi="Times New Roman"/>
                <w:sz w:val="20"/>
              </w:rPr>
              <w:t>Cooperation Covenant ergänzen, mit Mitwirkungspflicht bei Anträgen § 16 GrEStG</w:t>
            </w:r>
          </w:p>
        </w:tc>
      </w:tr>
      <w:tr>
        <w:tc>
          <w:tcPr>
            <w:tcW w:type="dxa" w:w="2268"/>
          </w:tcPr>
          <w:p>
            <w:r>
              <w:rPr>
                <w:rFonts w:ascii="Times New Roman" w:hAnsi="Times New Roman"/>
                <w:sz w:val="20"/>
              </w:rPr>
              <w:t>Sicherheitsleistung bei AdV</w:t>
            </w:r>
          </w:p>
        </w:tc>
        <w:tc>
          <w:tcPr>
            <w:tcW w:type="dxa" w:w="2268"/>
          </w:tcPr>
          <w:p>
            <w:r>
              <w:rPr>
                <w:rFonts w:ascii="Times New Roman" w:hAnsi="Times New Roman"/>
                <w:sz w:val="20"/>
              </w:rPr>
              <w:t>17.6 (ausdrücklich ausgeschlossen)</w:t>
            </w:r>
          </w:p>
        </w:tc>
        <w:tc>
          <w:tcPr>
            <w:tcW w:type="dxa" w:w="2268"/>
          </w:tcPr>
          <w:p>
            <w:r>
              <w:rPr>
                <w:rFonts w:ascii="Times New Roman" w:hAnsi="Times New Roman"/>
                <w:sz w:val="20"/>
              </w:rPr>
              <w:t>ungeregelt / negativ geregelt</w:t>
            </w:r>
          </w:p>
        </w:tc>
        <w:tc>
          <w:tcPr>
            <w:tcW w:type="dxa" w:w="2268"/>
          </w:tcPr>
          <w:p>
            <w:r>
              <w:rPr>
                <w:rFonts w:ascii="Times New Roman" w:hAnsi="Times New Roman"/>
                <w:sz w:val="20"/>
              </w:rPr>
              <w:t>Escrow darf für Sicherheitsleistung genutzt werden, alternativ Bankbürgschaft auf Kosten Verkäuferin</w:t>
            </w:r>
          </w:p>
        </w:tc>
      </w:tr>
      <w:tr>
        <w:tc>
          <w:tcPr>
            <w:tcW w:type="dxa" w:w="2268"/>
          </w:tcPr>
          <w:p>
            <w:r>
              <w:rPr>
                <w:rFonts w:ascii="Times New Roman" w:hAnsi="Times New Roman"/>
                <w:sz w:val="20"/>
              </w:rPr>
              <w:t>Verfahrenskontrolle</w:t>
            </w:r>
          </w:p>
        </w:tc>
        <w:tc>
          <w:tcPr>
            <w:tcW w:type="dxa" w:w="2268"/>
          </w:tcPr>
          <w:p>
            <w:r>
              <w:rPr>
                <w:rFonts w:ascii="Times New Roman" w:hAnsi="Times New Roman"/>
                <w:sz w:val="20"/>
              </w:rPr>
              <w:t>17.5</w:t>
            </w:r>
          </w:p>
        </w:tc>
        <w:tc>
          <w:tcPr>
            <w:tcW w:type="dxa" w:w="2268"/>
          </w:tcPr>
          <w:p>
            <w:r>
              <w:rPr>
                <w:rFonts w:ascii="Times New Roman" w:hAnsi="Times New Roman"/>
                <w:sz w:val="20"/>
              </w:rPr>
              <w:t>teils unklar bei Signing-Festsetzung</w:t>
            </w:r>
          </w:p>
        </w:tc>
        <w:tc>
          <w:tcPr>
            <w:tcW w:type="dxa" w:w="2268"/>
          </w:tcPr>
          <w:p>
            <w:r>
              <w:rPr>
                <w:rFonts w:ascii="Times New Roman" w:hAnsi="Times New Roman"/>
                <w:sz w:val="20"/>
              </w:rPr>
              <w:t>Käufer kontrolliert; Verkäufer muss mitwirken, kein Recht auf eigenständige Verfahrensführung</w:t>
            </w:r>
          </w:p>
        </w:tc>
      </w:tr>
      <w:tr>
        <w:tc>
          <w:tcPr>
            <w:tcW w:type="dxa" w:w="2268"/>
          </w:tcPr>
          <w:p>
            <w:r>
              <w:rPr>
                <w:rFonts w:ascii="Times New Roman" w:hAnsi="Times New Roman"/>
                <w:sz w:val="20"/>
              </w:rPr>
              <w:t>Escrow-Höhe</w:t>
            </w:r>
          </w:p>
        </w:tc>
        <w:tc>
          <w:tcPr>
            <w:tcW w:type="dxa" w:w="2268"/>
          </w:tcPr>
          <w:p>
            <w:r>
              <w:rPr>
                <w:rFonts w:ascii="Times New Roman" w:hAnsi="Times New Roman"/>
                <w:sz w:val="20"/>
              </w:rPr>
              <w:t>17.6 (2,4 Mio. EUR)</w:t>
            </w:r>
          </w:p>
        </w:tc>
        <w:tc>
          <w:tcPr>
            <w:tcW w:type="dxa" w:w="2268"/>
          </w:tcPr>
          <w:p>
            <w:r>
              <w:rPr>
                <w:rFonts w:ascii="Times New Roman" w:hAnsi="Times New Roman"/>
                <w:sz w:val="20"/>
              </w:rPr>
              <w:t>knapp bei Einfachbelastung, deutlich zu niedrig bei Doppelbelastung</w:t>
            </w:r>
          </w:p>
        </w:tc>
        <w:tc>
          <w:tcPr>
            <w:tcW w:type="dxa" w:w="2268"/>
          </w:tcPr>
          <w:p>
            <w:r>
              <w:rPr>
                <w:rFonts w:ascii="Times New Roman" w:hAnsi="Times New Roman"/>
                <w:sz w:val="20"/>
              </w:rPr>
              <w:t>Erhöhung auf 4,8 Mio. EUR oder Stand-by-Bürgschaft</w:t>
            </w:r>
          </w:p>
        </w:tc>
      </w:tr>
      <w:tr>
        <w:tc>
          <w:tcPr>
            <w:tcW w:type="dxa" w:w="2268"/>
          </w:tcPr>
          <w:p>
            <w:r>
              <w:rPr>
                <w:rFonts w:ascii="Times New Roman" w:hAnsi="Times New Roman"/>
                <w:sz w:val="20"/>
              </w:rPr>
              <w:t>Vorab-Umstrukturierung (§ 6a-Begünstigung Brandenburg)</w:t>
            </w:r>
          </w:p>
        </w:tc>
        <w:tc>
          <w:tcPr>
            <w:tcW w:type="dxa" w:w="2268"/>
          </w:tcPr>
          <w:p>
            <w:r>
              <w:rPr>
                <w:rFonts w:ascii="Times New Roman" w:hAnsi="Times New Roman"/>
                <w:sz w:val="20"/>
              </w:rPr>
              <w:t>Schedule 8</w:t>
            </w:r>
          </w:p>
        </w:tc>
        <w:tc>
          <w:tcPr>
            <w:tcW w:type="dxa" w:w="2268"/>
          </w:tcPr>
          <w:p>
            <w:r>
              <w:rPr>
                <w:rFonts w:ascii="Times New Roman" w:hAnsi="Times New Roman"/>
                <w:sz w:val="20"/>
              </w:rPr>
              <w:t>nicht bestandskräftig</w:t>
            </w:r>
          </w:p>
        </w:tc>
        <w:tc>
          <w:tcPr>
            <w:tcW w:type="dxa" w:w="2268"/>
          </w:tcPr>
          <w:p>
            <w:r>
              <w:rPr>
                <w:rFonts w:ascii="Times New Roman" w:hAnsi="Times New Roman"/>
                <w:sz w:val="20"/>
              </w:rPr>
              <w:t>Verkäuferin trägt Risiko -- gerade so geregelt in 17.4 (b); Hinweis im Amendment</w:t>
            </w:r>
          </w:p>
        </w:tc>
      </w:tr>
      <w:tr>
        <w:tc>
          <w:tcPr>
            <w:tcW w:type="dxa" w:w="2268"/>
          </w:tcPr>
          <w:p>
            <w:r>
              <w:rPr>
                <w:rFonts w:ascii="Times New Roman" w:hAnsi="Times New Roman"/>
                <w:sz w:val="20"/>
              </w:rPr>
              <w:t>Säumniszuschläge / Verzugszinsen</w:t>
            </w:r>
          </w:p>
        </w:tc>
        <w:tc>
          <w:tcPr>
            <w:tcW w:type="dxa" w:w="2268"/>
          </w:tcPr>
          <w:p>
            <w:r>
              <w:rPr>
                <w:rFonts w:ascii="Times New Roman" w:hAnsi="Times New Roman"/>
                <w:sz w:val="20"/>
              </w:rPr>
              <w:t>--</w:t>
            </w:r>
          </w:p>
        </w:tc>
        <w:tc>
          <w:tcPr>
            <w:tcW w:type="dxa" w:w="2268"/>
          </w:tcPr>
          <w:p>
            <w:r>
              <w:rPr>
                <w:rFonts w:ascii="Times New Roman" w:hAnsi="Times New Roman"/>
                <w:sz w:val="20"/>
              </w:rPr>
              <w:t>nicht ausdrücklich</w:t>
            </w:r>
          </w:p>
        </w:tc>
        <w:tc>
          <w:tcPr>
            <w:tcW w:type="dxa" w:w="2268"/>
          </w:tcPr>
          <w:p>
            <w:r>
              <w:rPr>
                <w:rFonts w:ascii="Times New Roman" w:hAnsi="Times New Roman"/>
                <w:sz w:val="20"/>
              </w:rPr>
              <w:t>unter Tax fällt Ancillary Charges, also implizit gedeckt; klarstellender Hinweis</w:t>
            </w:r>
          </w:p>
        </w:tc>
      </w:tr>
      <w:tr>
        <w:tc>
          <w:tcPr>
            <w:tcW w:type="dxa" w:w="2268"/>
          </w:tcPr>
          <w:p>
            <w:r>
              <w:rPr>
                <w:rFonts w:ascii="Times New Roman" w:hAnsi="Times New Roman"/>
                <w:sz w:val="20"/>
              </w:rPr>
              <w:t>Übersetzungskosten / Sachverständige</w:t>
            </w:r>
          </w:p>
        </w:tc>
        <w:tc>
          <w:tcPr>
            <w:tcW w:type="dxa" w:w="2268"/>
          </w:tcPr>
          <w:p>
            <w:r>
              <w:rPr>
                <w:rFonts w:ascii="Times New Roman" w:hAnsi="Times New Roman"/>
                <w:sz w:val="20"/>
              </w:rPr>
              <w:t>--</w:t>
            </w:r>
          </w:p>
        </w:tc>
        <w:tc>
          <w:tcPr>
            <w:tcW w:type="dxa" w:w="2268"/>
          </w:tcPr>
          <w:p>
            <w:r>
              <w:rPr>
                <w:rFonts w:ascii="Times New Roman" w:hAnsi="Times New Roman"/>
                <w:sz w:val="20"/>
              </w:rPr>
              <w:t>nicht geregelt</w:t>
            </w:r>
          </w:p>
        </w:tc>
        <w:tc>
          <w:tcPr>
            <w:tcW w:type="dxa" w:w="2268"/>
          </w:tcPr>
          <w:p>
            <w:r>
              <w:rPr>
                <w:rFonts w:ascii="Times New Roman" w:hAnsi="Times New Roman"/>
                <w:sz w:val="20"/>
              </w:rPr>
              <w:t>Kostenausgleich Sec. 17.4 erweitern</w:t>
            </w:r>
          </w:p>
        </w:tc>
      </w:tr>
    </w:tbl>
    <w:p>
      <w:pPr>
        <w:pStyle w:val="Heading2"/>
      </w:pPr>
      <w:r>
        <w:rPr>
          <w:rFonts w:ascii="Times New Roman" w:hAnsi="Times New Roman"/>
        </w:rPr>
        <w:t>Klauselvorschlag deutsch (Amendment Nr. 1)</w:t>
      </w:r>
    </w:p>
    <w:p>
      <w:pPr>
        <w:ind w:left="567"/>
      </w:pPr>
      <w:r>
        <w:rPr>
          <w:b/>
          <w:i/>
        </w:rPr>
        <w:t>Neuer § 17.3 (a):</w:t>
      </w:r>
      <w:r>
        <w:rPr>
          <w:i/>
        </w:rPr>
        <w:t xml:space="preserve"> Die Parteien sind sich einig, dass sämtliche Grunderwerbsteuer (einschließlich Säumniszuschlägen, Zinsen, Nebenleistungen sowie Verfahrenskosten der Finanzbehörden), die aus dem Erwerbsvorgang des Anteilskaufs vom 12.12.2025 und dem Closing am 30.04.2026 -- einschließlich einer etwaigen mehrfachen oder zusätzlichen Festsetzung wegen des zeitlichen Auseinanderfallens von Signing und Closing -- resultieren, bis zur bestandskräftigen Klärung </w:t>
      </w:r>
      <w:r>
        <w:rPr>
          <w:b/>
          <w:i/>
        </w:rPr>
        <w:t>vollumfänglich aus dem Escrow</w:t>
      </w:r>
      <w:r>
        <w:rPr>
          <w:i/>
        </w:rPr>
        <w:t xml:space="preserve"> bestritten werden dürfen.</w:t>
      </w:r>
    </w:p>
    <w:p>
      <w:pPr>
        <w:ind w:left="567"/>
      </w:pPr>
    </w:p>
    <w:p>
      <w:pPr>
        <w:ind w:left="567"/>
      </w:pPr>
      <w:r>
        <w:rPr>
          <w:b/>
          <w:i/>
        </w:rPr>
        <w:t>Neuer § 17.5 (e):</w:t>
      </w:r>
      <w:r>
        <w:rPr>
          <w:i/>
        </w:rPr>
        <w:t xml:space="preserve"> Die Parteien wirken an Einspruchs-, Aussetzungs-, Änderungs- und § 16-GrEStG-Verfahren mit. Keine Partei darf ohne vorherige Zustimmung der anderen Partei eine Erklärung gegenüber der Finanzbehörde abgeben, die die Verteidigung gegen eine doppelte Festsetzung beeinträchtigt. Die Verkäuferin verpflichtet sich insbesondere, Anträge nach § 16 GrEStG der Käuferin bzw. der Zielgesellschaft auf erste Anforderung zu unterstützen.</w:t>
      </w:r>
    </w:p>
    <w:p>
      <w:pPr>
        <w:ind w:left="567"/>
      </w:pPr>
    </w:p>
    <w:p>
      <w:pPr>
        <w:ind w:left="567"/>
      </w:pPr>
      <w:r>
        <w:rPr>
          <w:b/>
          <w:i/>
        </w:rPr>
        <w:t>Neuer § 17.6 (a) Satz 4:</w:t>
      </w:r>
      <w:r>
        <w:rPr>
          <w:i/>
        </w:rPr>
        <w:t xml:space="preserve"> Abweichend von Satz 3 darf der Escrow auch zur Stellung einer Sicherheitsleistung im Sinne von § 361 Abs. 2 Satz 4 AO im Aussetzungsverfahren verwendet werden, sofern und soweit die Käuferin oder die Zielgesellschaft Aussetzung der Vollziehung beantragt hat.</w:t>
      </w:r>
    </w:p>
    <w:p>
      <w:pPr>
        <w:pStyle w:val="Heading2"/>
      </w:pPr>
      <w:r>
        <w:rPr>
          <w:rFonts w:ascii="Times New Roman" w:hAnsi="Times New Roman"/>
        </w:rPr>
        <w:t>Klauselvorschlag englisch (Amendment Nr. 1)</w:t>
      </w:r>
    </w:p>
    <w:p>
      <w:pPr>
        <w:ind w:left="567"/>
      </w:pPr>
      <w:r>
        <w:rPr>
          <w:b/>
          <w:i/>
        </w:rPr>
        <w:t>New Section 17.3 (a):</w:t>
      </w:r>
      <w:r>
        <w:rPr>
          <w:i/>
        </w:rPr>
        <w:t xml:space="preserve"> The Parties agree that any real estate transfer tax (including late payment surcharges, interest, ancillary charges and tax authority procedural costs) resulting from the acquisition of the Shares pursuant to the SPA dated 12 December 2025 and the Closing on 30 April 2026, </w:t>
      </w:r>
      <w:r>
        <w:rPr>
          <w:b/>
          <w:i/>
        </w:rPr>
        <w:t>including any multiple or additional assessment due to the temporal divergence of Signing and Closing,</w:t>
      </w:r>
      <w:r>
        <w:rPr>
          <w:i/>
        </w:rPr>
        <w:t xml:space="preserve"> may, until final and binding determination, be settled </w:t>
      </w:r>
      <w:r>
        <w:rPr>
          <w:b/>
          <w:i/>
        </w:rPr>
        <w:t>in full out of the Escrow</w:t>
      </w:r>
      <w:r>
        <w:rPr>
          <w:i/>
        </w:rPr>
        <w:t>.</w:t>
      </w:r>
    </w:p>
    <w:p>
      <w:pPr>
        <w:ind w:left="567"/>
      </w:pPr>
    </w:p>
    <w:p>
      <w:pPr>
        <w:ind w:left="567"/>
      </w:pPr>
      <w:r>
        <w:rPr>
          <w:b/>
          <w:i/>
        </w:rPr>
        <w:t>New Section 17.5 (e):</w:t>
      </w:r>
      <w:r>
        <w:rPr>
          <w:i/>
        </w:rPr>
        <w:t xml:space="preserve"> The Parties shall cooperate in all objection, stay-of-execution, amendment and section 16 GrEStG proceedings. Neither Party shall make any declaration to the tax authority without the prior consent of the other Party that would prejudice the defence against a duplicate assessment. Seller shall in particular support any section 16 GrEStG application by Purchaser or by the Company upon first request.</w:t>
      </w:r>
    </w:p>
    <w:p>
      <w:pPr>
        <w:ind w:left="567"/>
      </w:pPr>
    </w:p>
    <w:p>
      <w:pPr>
        <w:ind w:left="567"/>
      </w:pPr>
      <w:r>
        <w:rPr>
          <w:b/>
          <w:i/>
        </w:rPr>
        <w:t>New Section 17.6 (a), fourth sentence:</w:t>
      </w:r>
      <w:r>
        <w:rPr>
          <w:i/>
        </w:rPr>
        <w:t xml:space="preserve"> Notwithstanding the third sentence, the Escrow may also be used to provide security (Sicherheitsleistung) within the meaning of section 361 (2) sentence 4 of the German General Fiscal Code in stay-of-execution proceedings.</w:t>
      </w:r>
    </w:p>
    <w:p>
      <w:pPr>
        <w:pStyle w:val="Heading2"/>
      </w:pPr>
      <w:r>
        <w:rPr>
          <w:rFonts w:ascii="Times New Roman" w:hAnsi="Times New Roman"/>
        </w:rPr>
        <w:t>Deal-Notiz</w:t>
      </w:r>
    </w:p>
    <w:p>
      <w:pPr>
        <w:jc w:val="left"/>
      </w:pPr>
      <w:r>
        <w:t xml:space="preserve">Die Amendment-Klausel muss nicht behaupten, dass die Finanzverwaltung falsch liegt. Sie muss nur verhindern, dass die Käuferin wegen eines verfahrensrechtlich zweifelhaften zweiten Bescheids kurzfristig Liquidität verliert oder die Verkäuferin die Mitwirkung verweigert. Die Verhandlung mit Verkäuferin Nordtor Beteiligungen GmbH sollte mit dem Argument geführt werden, dass eine durchsetzungsstarke Verteidigung gegen die doppelte Festsetzung im wirtschaftlichen Interesse </w:t>
      </w:r>
      <w:r>
        <w:rPr>
          <w:b/>
        </w:rPr>
        <w:t>beider</w:t>
      </w:r>
      <w:r>
        <w:t xml:space="preserve"> Parteien liegt -- die Tax-Escrow-Konstruktion verhindert ein einseitiges Risiko für die Käuferin, ohne die Lastentragung gegen die Verkäuferin zu verändern, wenn die Doppelfestsetzung am Ende doch erfolgt.</w:t>
      </w:r>
    </w:p>
    <w:p>
      <w:pPr>
        <w:pStyle w:val="Heading2"/>
      </w:pPr>
      <w:r>
        <w:rPr>
          <w:rFonts w:ascii="Times New Roman" w:hAnsi="Times New Roman"/>
        </w:rPr>
        <w:t>Verhandlungshebel</w:t>
      </w:r>
    </w:p>
    <w:p>
      <w:pPr>
        <w:pStyle w:val="ListBullet"/>
      </w:pPr>
      <w:r>
        <w:t>Käuferin hat noch 14 % des Kaufpreises (12,5 Mio. EUR) auf Holdback-Konto (90 Tage nach Closing freizugeben), das ein eigener Hebel ist.</w:t>
      </w:r>
    </w:p>
    <w:p>
      <w:pPr>
        <w:pStyle w:val="ListBullet"/>
      </w:pPr>
      <w:r>
        <w:t>Verkäuferin ist auf Schadensfreiheit für den eigenen Konzernabschluss Q2/2026 angewiesen.</w:t>
      </w:r>
    </w:p>
    <w:p>
      <w:pPr>
        <w:pStyle w:val="ListBullet"/>
      </w:pPr>
      <w:r>
        <w:t>Der Escrow läuft formal nach Clause 17.6 bis zum Ende der Einspruchsfristen oder, bei eingelegtem Einspruch, bis zur Bestandskraft -- Käuferin kann ohnehin den Escrow blockieren.</w:t>
      </w:r>
    </w:p>
    <w:p>
      <w:pPr>
        <w:pStyle w:val="Heading2"/>
      </w:pPr>
      <w:r>
        <w:rPr>
          <w:rFonts w:ascii="Times New Roman" w:hAnsi="Times New Roman"/>
        </w:rPr>
        <w:t>Vorgehensvorschlag</w:t>
      </w:r>
    </w:p>
    <w:p>
      <w:pPr>
        <w:pStyle w:val="ListNumber"/>
      </w:pPr>
      <w:r>
        <w:t>Amendment Nr. 1 in englischer Fassung an Nordtor-Anwälte (Schramm Wenders Reichardt LLP, Hamburg) bis 24.05.2026 senden.</w:t>
      </w:r>
    </w:p>
    <w:p>
      <w:pPr>
        <w:pStyle w:val="ListNumber"/>
      </w:pPr>
      <w:r>
        <w:t>Telko vereinbaren bis 31.05.2026.</w:t>
      </w:r>
    </w:p>
    <w:p>
      <w:pPr>
        <w:pStyle w:val="ListNumber"/>
      </w:pPr>
      <w:r>
        <w:t>Falls keine Einigung bis 14.06.2026: SPA wie er ist akzeptieren, Auslegung in Streitfällen sichern (Mandantin wirtschaftlich gut abgesichert durch Escrow-Blockade).</w:t>
      </w:r>
    </w:p>
    <w:p>
      <w:pPr>
        <w:pStyle w:val="ListNumber"/>
      </w:pPr>
      <w:r>
        <w:t>Parallel Bankbürgschaft Helaba für Sicherheitsleistung vorbereiten -- unabhängig vom Amendment-Stand.</w:t>
      </w:r>
    </w:p>
    <w:p>
      <w:pPr>
        <w:pStyle w:val="Heading2"/>
      </w:pPr>
      <w:r>
        <w:rPr>
          <w:rFonts w:ascii="Times New Roman" w:hAnsi="Times New Roman"/>
        </w:rPr>
        <w:t>Risikohinweis</w:t>
      </w:r>
    </w:p>
    <w:p>
      <w:pPr>
        <w:jc w:val="left"/>
      </w:pPr>
      <w:r>
        <w:t xml:space="preserve">Die Mandantin (CFO Killeen) hat im Telko vom 13.05.2026 darauf gedrungen, dass das Amendment </w:t>
      </w:r>
      <w:r>
        <w:rPr>
          <w:b/>
        </w:rPr>
        <w:t>nicht</w:t>
      </w:r>
      <w:r>
        <w:t xml:space="preserve"> zur Krisenkommunikation an Investoren wird. Investorenkommunikation läuft in der Routine über die quartalsweise Q-Mitteilung; ein außerplanmäßiges Statement zum GrESt-Thema wäre für den Aktienkurs nicht wünschenswert. Das Amendment muss daher unterhalb der "wesentlichen Vertragsänderung" bleiben, was es bei der vorgeschlagenen Fassung tut (keine Preisänderung, nur Verfahrensregelung).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