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Step Plan Projekt Waldkrone -- Deal-Notiz</w:t>
      </w:r>
    </w:p>
    <w:p>
      <w:pPr>
        <w:jc w:val="left"/>
      </w:pPr>
      <w:r>
        <w:rPr>
          <w:b/>
        </w:rPr>
        <w:t>Mandant:</w:t>
      </w:r>
      <w:r>
        <w:t xml:space="preserve"> Silver Harbour Capital plc, Dublin</w:t>
      </w:r>
    </w:p>
    <w:p>
      <w:pPr>
        <w:jc w:val="left"/>
      </w:pPr>
      <w:r>
        <w:rPr>
          <w:b/>
        </w:rPr>
        <w:t>Mandantsnummer:</w:t>
      </w:r>
      <w:r>
        <w:t xml:space="preserve"> AKB 2025-1144 / Waldkrone</w:t>
      </w:r>
    </w:p>
    <w:p>
      <w:pPr>
        <w:jc w:val="left"/>
      </w:pPr>
      <w:r>
        <w:rPr>
          <w:b/>
        </w:rPr>
        <w:t>Bearbeitung:</w:t>
      </w:r>
      <w:r>
        <w:t xml:space="preserve"> Dr. Holzschuh, Petrich, Vandermolen (Tax); Dr. Alvensleben (M&amp;A federführend)</w:t>
      </w:r>
    </w:p>
    <w:p>
      <w:pPr>
        <w:jc w:val="left"/>
      </w:pPr>
      <w:r>
        <w:rPr>
          <w:b/>
        </w:rPr>
        <w:t>Datum:</w:t>
      </w:r>
      <w:r>
        <w:t xml:space="preserve"> 28.05.2026</w:t>
      </w:r>
    </w:p>
    <w:p>
      <w:pPr>
        <w:jc w:val="left"/>
      </w:pPr>
      <w:r>
        <w:rPr>
          <w:b/>
        </w:rPr>
        <w:t>Stand Step Plan:</w:t>
      </w:r>
      <w:r>
        <w:t xml:space="preserve"> v2 (post-closing-Anpassung)</w:t>
      </w:r>
    </w:p>
    <w:p>
      <w:pPr>
        <w:pStyle w:val="Heading2"/>
      </w:pPr>
      <w:r>
        <w:rPr>
          <w:rFonts w:ascii="Times New Roman" w:hAnsi="Times New Roman"/>
        </w:rPr>
        <w:t>Ausgangslage und Zielbild</w:t>
      </w:r>
    </w:p>
    <w:p>
      <w:pPr>
        <w:jc w:val="left"/>
      </w:pPr>
      <w:r>
        <w:t>Der Erwerb der Waldkrone Logistik GmbH und ihrer Tochterstrukturen ist seit Closing (30.04.2026) vollzogen. Die Eintragung der neuen Gesellschafterliste beim AG Potsdam ist erfolgt (05.05.2026). Es bestehen jedoch zwei unmittelbare Folgeaufgaben:</w:t>
      </w:r>
    </w:p>
    <w:p>
      <w:pPr>
        <w:pStyle w:val="ListNumber"/>
      </w:pPr>
      <w:r>
        <w:t>Verteidigung gegen die angekündigte Doppelfestsetzung GrESt.</w:t>
      </w:r>
    </w:p>
    <w:p>
      <w:pPr>
        <w:pStyle w:val="ListNumber"/>
      </w:pPr>
      <w:r>
        <w:t>Aufnahme der Zielgesellschaft in die Berichtsstruktur Silver Harbour Capital plc, Q2/2026 Konsolidierung.</w:t>
      </w:r>
    </w:p>
    <w:p>
      <w:pPr>
        <w:jc w:val="left"/>
      </w:pPr>
      <w:r>
        <w:t>Der vorliegende Step Plan integriert die steuerrechtliche Argumentation in die laufende Post-Closing-Aufgabenliste und definiert pro Schritt den verfahrensrechtlichen Anknüpfungspunkt.</w:t>
      </w:r>
    </w:p>
    <w:p>
      <w:pPr>
        <w:pStyle w:val="Heading2"/>
      </w:pPr>
      <w:r>
        <w:rPr>
          <w:rFonts w:ascii="Times New Roman" w:hAnsi="Times New Roman"/>
        </w:rPr>
        <w:t>Step 1 -- Bescheideingang stabilisieren (laufend bis 30.06.2026)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Aktion</w:t>
            </w:r>
          </w:p>
        </w:tc>
        <w:tc>
          <w:tcPr>
            <w:tcW w:type="dxa" w:w="2268"/>
          </w:tcPr>
          <w:p>
            <w:r>
              <w:rPr>
                <w:rFonts w:ascii="Times New Roman" w:hAnsi="Times New Roman"/>
                <w:b/>
                <w:sz w:val="20"/>
              </w:rPr>
              <w:t>Verfahrensgrundlage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Zielzeitpunkt</w:t>
            </w:r>
          </w:p>
        </w:tc>
      </w:tr>
      <w:tr>
        <w:tc>
          <w:tcPr>
            <w:tcW w:type="dxa" w:w="2268"/>
          </w:tcPr>
          <w:p>
            <w:r>
              <w:rPr>
                <w:rFonts w:ascii="Times New Roman" w:hAnsi="Times New Roman"/>
                <w:sz w:val="20"/>
              </w:rPr>
              <w:t>Tägliches Monitoring Posteingang Mandantin und Kanzlei</w:t>
            </w:r>
          </w:p>
        </w:tc>
        <w:tc>
          <w:tcPr>
            <w:tcW w:type="dxa" w:w="2268"/>
          </w:tcPr>
          <w:p>
            <w:r>
              <w:rPr>
                <w:rFonts w:ascii="Times New Roman" w:hAnsi="Times New Roman"/>
                <w:sz w:val="20"/>
              </w:rPr>
              <w:t>--</w:t>
            </w:r>
          </w:p>
        </w:tc>
        <w:tc>
          <w:tcPr>
            <w:tcW w:type="dxa" w:w="2268"/>
          </w:tcPr>
          <w:p>
            <w:r>
              <w:rPr>
                <w:rFonts w:ascii="Times New Roman" w:hAnsi="Times New Roman"/>
                <w:sz w:val="20"/>
              </w:rPr>
              <w:t>Vandermolen + Killeen-Office</w:t>
            </w:r>
          </w:p>
        </w:tc>
        <w:tc>
          <w:tcPr>
            <w:tcW w:type="dxa" w:w="2268"/>
          </w:tcPr>
          <w:p>
            <w:r>
              <w:rPr>
                <w:rFonts w:ascii="Times New Roman" w:hAnsi="Times New Roman"/>
                <w:sz w:val="20"/>
              </w:rPr>
              <w:t>täglich</w:t>
            </w:r>
          </w:p>
        </w:tc>
      </w:tr>
      <w:tr>
        <w:tc>
          <w:tcPr>
            <w:tcW w:type="dxa" w:w="2268"/>
          </w:tcPr>
          <w:p>
            <w:r>
              <w:rPr>
                <w:rFonts w:ascii="Times New Roman" w:hAnsi="Times New Roman"/>
                <w:sz w:val="20"/>
              </w:rPr>
              <w:t>Eingangsbestätigung jeder Sendung</w:t>
            </w:r>
          </w:p>
        </w:tc>
        <w:tc>
          <w:tcPr>
            <w:tcW w:type="dxa" w:w="2268"/>
          </w:tcPr>
          <w:p>
            <w:r>
              <w:rPr>
                <w:rFonts w:ascii="Times New Roman" w:hAnsi="Times New Roman"/>
                <w:sz w:val="20"/>
              </w:rPr>
              <w:t>--</w:t>
            </w:r>
          </w:p>
        </w:tc>
        <w:tc>
          <w:tcPr>
            <w:tcW w:type="dxa" w:w="2268"/>
          </w:tcPr>
          <w:p>
            <w:r>
              <w:rPr>
                <w:rFonts w:ascii="Times New Roman" w:hAnsi="Times New Roman"/>
                <w:sz w:val="20"/>
              </w:rPr>
              <w:t>Sekretariat Kanzlei</w:t>
            </w:r>
          </w:p>
        </w:tc>
        <w:tc>
          <w:tcPr>
            <w:tcW w:type="dxa" w:w="2268"/>
          </w:tcPr>
          <w:p>
            <w:r>
              <w:rPr>
                <w:rFonts w:ascii="Times New Roman" w:hAnsi="Times New Roman"/>
                <w:sz w:val="20"/>
              </w:rPr>
              <w:t>sofort</w:t>
            </w:r>
          </w:p>
        </w:tc>
      </w:tr>
      <w:tr>
        <w:tc>
          <w:tcPr>
            <w:tcW w:type="dxa" w:w="2268"/>
          </w:tcPr>
          <w:p>
            <w:r>
              <w:rPr>
                <w:rFonts w:ascii="Times New Roman" w:hAnsi="Times New Roman"/>
                <w:sz w:val="20"/>
              </w:rPr>
              <w:t>Zustellung sicherstellen, ggf. Postzustellungsurkunde anfordern</w:t>
            </w:r>
          </w:p>
        </w:tc>
        <w:tc>
          <w:tcPr>
            <w:tcW w:type="dxa" w:w="2268"/>
          </w:tcPr>
          <w:p>
            <w:r>
              <w:rPr>
                <w:rFonts w:ascii="Times New Roman" w:hAnsi="Times New Roman"/>
                <w:sz w:val="20"/>
              </w:rPr>
              <w:t>§ 122 AO</w:t>
            </w:r>
          </w:p>
        </w:tc>
        <w:tc>
          <w:tcPr>
            <w:tcW w:type="dxa" w:w="2268"/>
          </w:tcPr>
          <w:p>
            <w:r>
              <w:rPr>
                <w:rFonts w:ascii="Times New Roman" w:hAnsi="Times New Roman"/>
                <w:sz w:val="20"/>
              </w:rPr>
              <w:t>Sekretariat</w:t>
            </w:r>
          </w:p>
        </w:tc>
        <w:tc>
          <w:tcPr>
            <w:tcW w:type="dxa" w:w="2268"/>
          </w:tcPr>
          <w:p>
            <w:r>
              <w:rPr>
                <w:rFonts w:ascii="Times New Roman" w:hAnsi="Times New Roman"/>
                <w:sz w:val="20"/>
              </w:rPr>
              <w:t>je nach Zustellungsart</w:t>
            </w:r>
          </w:p>
        </w:tc>
      </w:tr>
      <w:tr>
        <w:tc>
          <w:tcPr>
            <w:tcW w:type="dxa" w:w="2268"/>
          </w:tcPr>
          <w:p>
            <w:r>
              <w:rPr>
                <w:rFonts w:ascii="Times New Roman" w:hAnsi="Times New Roman"/>
                <w:sz w:val="20"/>
              </w:rPr>
              <w:t>Bescheidkopie an Killeen, Brennan, Vandermolen, Petrich, Holzschuh, Alvensleben</w:t>
            </w:r>
          </w:p>
        </w:tc>
        <w:tc>
          <w:tcPr>
            <w:tcW w:type="dxa" w:w="2268"/>
          </w:tcPr>
          <w:p>
            <w:r>
              <w:rPr>
                <w:rFonts w:ascii="Times New Roman" w:hAnsi="Times New Roman"/>
                <w:sz w:val="20"/>
              </w:rPr>
              <w:t>--</w:t>
            </w:r>
          </w:p>
        </w:tc>
        <w:tc>
          <w:tcPr>
            <w:tcW w:type="dxa" w:w="2268"/>
          </w:tcPr>
          <w:p>
            <w:r>
              <w:rPr>
                <w:rFonts w:ascii="Times New Roman" w:hAnsi="Times New Roman"/>
                <w:sz w:val="20"/>
              </w:rPr>
              <w:t>Sekretariat</w:t>
            </w:r>
          </w:p>
        </w:tc>
        <w:tc>
          <w:tcPr>
            <w:tcW w:type="dxa" w:w="2268"/>
          </w:tcPr>
          <w:p>
            <w:r>
              <w:rPr>
                <w:rFonts w:ascii="Times New Roman" w:hAnsi="Times New Roman"/>
                <w:sz w:val="20"/>
              </w:rPr>
              <w:t>binnen 1 Stunde nach Eingang</w:t>
            </w:r>
          </w:p>
        </w:tc>
      </w:tr>
    </w:tbl>
    <w:p>
      <w:pPr>
        <w:pStyle w:val="Heading2"/>
      </w:pPr>
      <w:r>
        <w:rPr>
          <w:rFonts w:ascii="Times New Roman" w:hAnsi="Times New Roman"/>
        </w:rPr>
        <w:t>Step 2 -- Bescheid prüfen und Fristenmatrix bauen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Aktion</w:t>
            </w:r>
          </w:p>
        </w:tc>
        <w:tc>
          <w:tcPr>
            <w:tcW w:type="dxa" w:w="2268"/>
          </w:tcPr>
          <w:p>
            <w:r>
              <w:rPr>
                <w:rFonts w:ascii="Times New Roman" w:hAnsi="Times New Roman"/>
                <w:b/>
                <w:sz w:val="20"/>
              </w:rPr>
              <w:t>Verfahrensgrundlage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Zielzeitpunkt</w:t>
            </w:r>
          </w:p>
        </w:tc>
      </w:tr>
      <w:tr>
        <w:tc>
          <w:tcPr>
            <w:tcW w:type="dxa" w:w="2268"/>
          </w:tcPr>
          <w:p>
            <w:r>
              <w:rPr>
                <w:rFonts w:ascii="Times New Roman" w:hAnsi="Times New Roman"/>
                <w:sz w:val="20"/>
              </w:rPr>
              <w:t>Bescheidinhalt analysieren (Tatbestand, Bemessungsgrundlage, Steuersatz, Adressat)</w:t>
            </w:r>
          </w:p>
        </w:tc>
        <w:tc>
          <w:tcPr>
            <w:tcW w:type="dxa" w:w="2268"/>
          </w:tcPr>
          <w:p>
            <w:r>
              <w:rPr>
                <w:rFonts w:ascii="Times New Roman" w:hAnsi="Times New Roman"/>
                <w:sz w:val="20"/>
              </w:rPr>
              <w:t>§ 157, § 122, § 124 AO</w:t>
            </w:r>
          </w:p>
        </w:tc>
        <w:tc>
          <w:tcPr>
            <w:tcW w:type="dxa" w:w="2268"/>
          </w:tcPr>
          <w:p>
            <w:r>
              <w:rPr>
                <w:rFonts w:ascii="Times New Roman" w:hAnsi="Times New Roman"/>
                <w:sz w:val="20"/>
              </w:rPr>
              <w:t>Petrich</w:t>
            </w:r>
          </w:p>
        </w:tc>
        <w:tc>
          <w:tcPr>
            <w:tcW w:type="dxa" w:w="2268"/>
          </w:tcPr>
          <w:p>
            <w:r>
              <w:rPr>
                <w:rFonts w:ascii="Times New Roman" w:hAnsi="Times New Roman"/>
                <w:sz w:val="20"/>
              </w:rPr>
              <w:t>Tag 1 nach Eingang</w:t>
            </w:r>
          </w:p>
        </w:tc>
      </w:tr>
      <w:tr>
        <w:tc>
          <w:tcPr>
            <w:tcW w:type="dxa" w:w="2268"/>
          </w:tcPr>
          <w:p>
            <w:r>
              <w:rPr>
                <w:rFonts w:ascii="Times New Roman" w:hAnsi="Times New Roman"/>
                <w:sz w:val="20"/>
              </w:rPr>
              <w:t>Einspruchsfrist berechnen (1 Monat ab Bekanntgabe)</w:t>
            </w:r>
          </w:p>
        </w:tc>
        <w:tc>
          <w:tcPr>
            <w:tcW w:type="dxa" w:w="2268"/>
          </w:tcPr>
          <w:p>
            <w:r>
              <w:rPr>
                <w:rFonts w:ascii="Times New Roman" w:hAnsi="Times New Roman"/>
                <w:sz w:val="20"/>
              </w:rPr>
              <w:t>§ 355 Abs. 1 AO</w:t>
            </w:r>
          </w:p>
        </w:tc>
        <w:tc>
          <w:tcPr>
            <w:tcW w:type="dxa" w:w="2268"/>
          </w:tcPr>
          <w:p>
            <w:r>
              <w:rPr>
                <w:rFonts w:ascii="Times New Roman" w:hAnsi="Times New Roman"/>
                <w:sz w:val="20"/>
              </w:rPr>
              <w:t>Petrich</w:t>
            </w:r>
          </w:p>
        </w:tc>
        <w:tc>
          <w:tcPr>
            <w:tcW w:type="dxa" w:w="2268"/>
          </w:tcPr>
          <w:p>
            <w:r>
              <w:rPr>
                <w:rFonts w:ascii="Times New Roman" w:hAnsi="Times New Roman"/>
                <w:sz w:val="20"/>
              </w:rPr>
              <w:t>Tag 1</w:t>
            </w:r>
          </w:p>
        </w:tc>
      </w:tr>
      <w:tr>
        <w:tc>
          <w:tcPr>
            <w:tcW w:type="dxa" w:w="2268"/>
          </w:tcPr>
          <w:p>
            <w:r>
              <w:rPr>
                <w:rFonts w:ascii="Times New Roman" w:hAnsi="Times New Roman"/>
                <w:sz w:val="20"/>
              </w:rPr>
              <w:t>Vorfrist 10 Tage vor Einspruchsfrist eintragen</w:t>
            </w:r>
          </w:p>
        </w:tc>
        <w:tc>
          <w:tcPr>
            <w:tcW w:type="dxa" w:w="2268"/>
          </w:tcPr>
          <w:p>
            <w:r>
              <w:rPr>
                <w:rFonts w:ascii="Times New Roman" w:hAnsi="Times New Roman"/>
                <w:sz w:val="20"/>
              </w:rPr>
              <w:t>intern</w:t>
            </w:r>
          </w:p>
        </w:tc>
        <w:tc>
          <w:tcPr>
            <w:tcW w:type="dxa" w:w="2268"/>
          </w:tcPr>
          <w:p>
            <w:r>
              <w:rPr>
                <w:rFonts w:ascii="Times New Roman" w:hAnsi="Times New Roman"/>
                <w:sz w:val="20"/>
              </w:rPr>
              <w:t>Sekretariat Petrich</w:t>
            </w:r>
          </w:p>
        </w:tc>
        <w:tc>
          <w:tcPr>
            <w:tcW w:type="dxa" w:w="2268"/>
          </w:tcPr>
          <w:p>
            <w:r>
              <w:rPr>
                <w:rFonts w:ascii="Times New Roman" w:hAnsi="Times New Roman"/>
                <w:sz w:val="20"/>
              </w:rPr>
              <w:t>Tag 1</w:t>
            </w:r>
          </w:p>
        </w:tc>
      </w:tr>
      <w:tr>
        <w:tc>
          <w:tcPr>
            <w:tcW w:type="dxa" w:w="2268"/>
          </w:tcPr>
          <w:p>
            <w:r>
              <w:rPr>
                <w:rFonts w:ascii="Times New Roman" w:hAnsi="Times New Roman"/>
                <w:sz w:val="20"/>
              </w:rPr>
              <w:t>Steuerbetrag und Fälligkeit vermerken</w:t>
            </w:r>
          </w:p>
        </w:tc>
        <w:tc>
          <w:tcPr>
            <w:tcW w:type="dxa" w:w="2268"/>
          </w:tcPr>
          <w:p>
            <w:r>
              <w:rPr>
                <w:rFonts w:ascii="Times New Roman" w:hAnsi="Times New Roman"/>
                <w:sz w:val="20"/>
              </w:rPr>
              <w:t>§ 220 AO</w:t>
            </w:r>
          </w:p>
        </w:tc>
        <w:tc>
          <w:tcPr>
            <w:tcW w:type="dxa" w:w="2268"/>
          </w:tcPr>
          <w:p>
            <w:r>
              <w:rPr>
                <w:rFonts w:ascii="Times New Roman" w:hAnsi="Times New Roman"/>
                <w:sz w:val="20"/>
              </w:rPr>
              <w:t>Vandermolen</w:t>
            </w:r>
          </w:p>
        </w:tc>
        <w:tc>
          <w:tcPr>
            <w:tcW w:type="dxa" w:w="2268"/>
          </w:tcPr>
          <w:p>
            <w:r>
              <w:rPr>
                <w:rFonts w:ascii="Times New Roman" w:hAnsi="Times New Roman"/>
                <w:sz w:val="20"/>
              </w:rPr>
              <w:t>Tag 1</w:t>
            </w:r>
          </w:p>
        </w:tc>
      </w:tr>
      <w:tr>
        <w:tc>
          <w:tcPr>
            <w:tcW w:type="dxa" w:w="2268"/>
          </w:tcPr>
          <w:p>
            <w:r>
              <w:rPr>
                <w:rFonts w:ascii="Times New Roman" w:hAnsi="Times New Roman"/>
                <w:sz w:val="20"/>
              </w:rPr>
              <w:t>Cross-Reference mit Post-Closing-Tracker</w:t>
            </w:r>
          </w:p>
        </w:tc>
        <w:tc>
          <w:tcPr>
            <w:tcW w:type="dxa" w:w="2268"/>
          </w:tcPr>
          <w:p>
            <w:r>
              <w:rPr>
                <w:rFonts w:ascii="Times New Roman" w:hAnsi="Times New Roman"/>
                <w:sz w:val="20"/>
              </w:rPr>
              <w:t>intern</w:t>
            </w:r>
          </w:p>
        </w:tc>
        <w:tc>
          <w:tcPr>
            <w:tcW w:type="dxa" w:w="2268"/>
          </w:tcPr>
          <w:p>
            <w:r>
              <w:rPr>
                <w:rFonts w:ascii="Times New Roman" w:hAnsi="Times New Roman"/>
                <w:sz w:val="20"/>
              </w:rPr>
              <w:t>Vandermolen</w:t>
            </w:r>
          </w:p>
        </w:tc>
        <w:tc>
          <w:tcPr>
            <w:tcW w:type="dxa" w:w="2268"/>
          </w:tcPr>
          <w:p>
            <w:r>
              <w:rPr>
                <w:rFonts w:ascii="Times New Roman" w:hAnsi="Times New Roman"/>
                <w:sz w:val="20"/>
              </w:rPr>
              <w:t>Tag 2</w:t>
            </w:r>
          </w:p>
        </w:tc>
      </w:tr>
    </w:tbl>
    <w:p>
      <w:pPr>
        <w:pStyle w:val="Heading2"/>
      </w:pPr>
      <w:r>
        <w:rPr>
          <w:rFonts w:ascii="Times New Roman" w:hAnsi="Times New Roman"/>
        </w:rPr>
        <w:t>Step 3 -- Einspruch einlegen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Aktion</w:t>
            </w:r>
          </w:p>
        </w:tc>
        <w:tc>
          <w:tcPr>
            <w:tcW w:type="dxa" w:w="2268"/>
          </w:tcPr>
          <w:p>
            <w:r>
              <w:rPr>
                <w:rFonts w:ascii="Times New Roman" w:hAnsi="Times New Roman"/>
                <w:b/>
                <w:sz w:val="20"/>
              </w:rPr>
              <w:t>Verfahrensgrundlage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Zielzeitpunkt</w:t>
            </w:r>
          </w:p>
        </w:tc>
      </w:tr>
      <w:tr>
        <w:tc>
          <w:tcPr>
            <w:tcW w:type="dxa" w:w="2268"/>
          </w:tcPr>
          <w:p>
            <w:r>
              <w:rPr>
                <w:rFonts w:ascii="Times New Roman" w:hAnsi="Times New Roman"/>
                <w:sz w:val="20"/>
              </w:rPr>
              <w:t>Einspruchsschreiben gegen jeden Bescheid (fristwahrend, kurze Begründung)</w:t>
            </w:r>
          </w:p>
        </w:tc>
        <w:tc>
          <w:tcPr>
            <w:tcW w:type="dxa" w:w="2268"/>
          </w:tcPr>
          <w:p>
            <w:r>
              <w:rPr>
                <w:rFonts w:ascii="Times New Roman" w:hAnsi="Times New Roman"/>
                <w:sz w:val="20"/>
              </w:rPr>
              <w:t>§ 347, § 357 AO</w:t>
            </w:r>
          </w:p>
        </w:tc>
        <w:tc>
          <w:tcPr>
            <w:tcW w:type="dxa" w:w="2268"/>
          </w:tcPr>
          <w:p>
            <w:r>
              <w:rPr>
                <w:rFonts w:ascii="Times New Roman" w:hAnsi="Times New Roman"/>
                <w:sz w:val="20"/>
              </w:rPr>
              <w:t>Petrich</w:t>
            </w:r>
          </w:p>
        </w:tc>
        <w:tc>
          <w:tcPr>
            <w:tcW w:type="dxa" w:w="2268"/>
          </w:tcPr>
          <w:p>
            <w:r>
              <w:rPr>
                <w:rFonts w:ascii="Times New Roman" w:hAnsi="Times New Roman"/>
                <w:sz w:val="20"/>
              </w:rPr>
              <w:t>spätestens Tag 28 nach Bekanntgabe</w:t>
            </w:r>
          </w:p>
        </w:tc>
      </w:tr>
      <w:tr>
        <w:tc>
          <w:tcPr>
            <w:tcW w:type="dxa" w:w="2268"/>
          </w:tcPr>
          <w:p>
            <w:r>
              <w:rPr>
                <w:rFonts w:ascii="Times New Roman" w:hAnsi="Times New Roman"/>
                <w:sz w:val="20"/>
              </w:rPr>
              <w:t>Begründung nachreichen (ausführlich, mit BFH-AdV-Linie)</w:t>
            </w:r>
          </w:p>
        </w:tc>
        <w:tc>
          <w:tcPr>
            <w:tcW w:type="dxa" w:w="2268"/>
          </w:tcPr>
          <w:p>
            <w:r>
              <w:rPr>
                <w:rFonts w:ascii="Times New Roman" w:hAnsi="Times New Roman"/>
                <w:sz w:val="20"/>
              </w:rPr>
              <w:t>§ 357 Abs. 3 AO</w:t>
            </w:r>
          </w:p>
        </w:tc>
        <w:tc>
          <w:tcPr>
            <w:tcW w:type="dxa" w:w="2268"/>
          </w:tcPr>
          <w:p>
            <w:r>
              <w:rPr>
                <w:rFonts w:ascii="Times New Roman" w:hAnsi="Times New Roman"/>
                <w:sz w:val="20"/>
              </w:rPr>
              <w:t>Petrich + Holzschuh</w:t>
            </w:r>
          </w:p>
        </w:tc>
        <w:tc>
          <w:tcPr>
            <w:tcW w:type="dxa" w:w="2268"/>
          </w:tcPr>
          <w:p>
            <w:r>
              <w:rPr>
                <w:rFonts w:ascii="Times New Roman" w:hAnsi="Times New Roman"/>
                <w:sz w:val="20"/>
              </w:rPr>
              <w:t>binnen 6 Wochen nach Einspruch</w:t>
            </w:r>
          </w:p>
        </w:tc>
      </w:tr>
      <w:tr>
        <w:tc>
          <w:tcPr>
            <w:tcW w:type="dxa" w:w="2268"/>
          </w:tcPr>
          <w:p>
            <w:r>
              <w:rPr>
                <w:rFonts w:ascii="Times New Roman" w:hAnsi="Times New Roman"/>
                <w:sz w:val="20"/>
              </w:rPr>
              <w:t>Akteneinsicht beantragen</w:t>
            </w:r>
          </w:p>
        </w:tc>
        <w:tc>
          <w:tcPr>
            <w:tcW w:type="dxa" w:w="2268"/>
          </w:tcPr>
          <w:p>
            <w:r>
              <w:rPr>
                <w:rFonts w:ascii="Times New Roman" w:hAnsi="Times New Roman"/>
                <w:sz w:val="20"/>
              </w:rPr>
              <w:t>§ 78 AO i. V. m. den Grundsätzen über Akteneinsicht</w:t>
            </w:r>
          </w:p>
        </w:tc>
        <w:tc>
          <w:tcPr>
            <w:tcW w:type="dxa" w:w="2268"/>
          </w:tcPr>
          <w:p>
            <w:r>
              <w:rPr>
                <w:rFonts w:ascii="Times New Roman" w:hAnsi="Times New Roman"/>
                <w:sz w:val="20"/>
              </w:rPr>
              <w:t>Petrich</w:t>
            </w:r>
          </w:p>
        </w:tc>
        <w:tc>
          <w:tcPr>
            <w:tcW w:type="dxa" w:w="2268"/>
          </w:tcPr>
          <w:p>
            <w:r>
              <w:rPr>
                <w:rFonts w:ascii="Times New Roman" w:hAnsi="Times New Roman"/>
                <w:sz w:val="20"/>
              </w:rPr>
              <w:t>parallel zur Einspruchseinlegung</w:t>
            </w:r>
          </w:p>
        </w:tc>
      </w:tr>
    </w:tbl>
    <w:p>
      <w:pPr>
        <w:pStyle w:val="Heading2"/>
      </w:pPr>
      <w:r>
        <w:rPr>
          <w:rFonts w:ascii="Times New Roman" w:hAnsi="Times New Roman"/>
        </w:rPr>
        <w:t>Step 4 -- AdV-Antrag stellen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Aktion</w:t>
            </w:r>
          </w:p>
        </w:tc>
        <w:tc>
          <w:tcPr>
            <w:tcW w:type="dxa" w:w="2268"/>
          </w:tcPr>
          <w:p>
            <w:r>
              <w:rPr>
                <w:rFonts w:ascii="Times New Roman" w:hAnsi="Times New Roman"/>
                <w:b/>
                <w:sz w:val="20"/>
              </w:rPr>
              <w:t>Verfahrensgrundlage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Zielzeitpunkt</w:t>
            </w:r>
          </w:p>
        </w:tc>
      </w:tr>
      <w:tr>
        <w:tc>
          <w:tcPr>
            <w:tcW w:type="dxa" w:w="2268"/>
          </w:tcPr>
          <w:p>
            <w:r>
              <w:rPr>
                <w:rFonts w:ascii="Times New Roman" w:hAnsi="Times New Roman"/>
                <w:sz w:val="20"/>
              </w:rPr>
              <w:t>AdV-Antrag beim FA stellen (gezielt gegen die zusätzliche / doppelte Festsetzung)</w:t>
            </w:r>
          </w:p>
        </w:tc>
        <w:tc>
          <w:tcPr>
            <w:tcW w:type="dxa" w:w="2268"/>
          </w:tcPr>
          <w:p>
            <w:r>
              <w:rPr>
                <w:rFonts w:ascii="Times New Roman" w:hAnsi="Times New Roman"/>
                <w:sz w:val="20"/>
              </w:rPr>
              <w:t>§ 361 Abs. 2 AO</w:t>
            </w:r>
          </w:p>
        </w:tc>
        <w:tc>
          <w:tcPr>
            <w:tcW w:type="dxa" w:w="2268"/>
          </w:tcPr>
          <w:p>
            <w:r>
              <w:rPr>
                <w:rFonts w:ascii="Times New Roman" w:hAnsi="Times New Roman"/>
                <w:sz w:val="20"/>
              </w:rPr>
              <w:t>Petrich</w:t>
            </w:r>
          </w:p>
        </w:tc>
        <w:tc>
          <w:tcPr>
            <w:tcW w:type="dxa" w:w="2268"/>
          </w:tcPr>
          <w:p>
            <w:r>
              <w:rPr>
                <w:rFonts w:ascii="Times New Roman" w:hAnsi="Times New Roman"/>
                <w:sz w:val="20"/>
              </w:rPr>
              <w:t>gleichzeitig mit Einspruch</w:t>
            </w:r>
          </w:p>
        </w:tc>
      </w:tr>
      <w:tr>
        <w:tc>
          <w:tcPr>
            <w:tcW w:type="dxa" w:w="2268"/>
          </w:tcPr>
          <w:p>
            <w:r>
              <w:rPr>
                <w:rFonts w:ascii="Times New Roman" w:hAnsi="Times New Roman"/>
                <w:sz w:val="20"/>
              </w:rPr>
              <w:t>Falls FA ablehnt: AdV beim FG beantragen</w:t>
            </w:r>
          </w:p>
        </w:tc>
        <w:tc>
          <w:tcPr>
            <w:tcW w:type="dxa" w:w="2268"/>
          </w:tcPr>
          <w:p>
            <w:r>
              <w:rPr>
                <w:rFonts w:ascii="Times New Roman" w:hAnsi="Times New Roman"/>
                <w:sz w:val="20"/>
              </w:rPr>
              <w:t>§ 69 Abs. 3 FGO</w:t>
            </w:r>
          </w:p>
        </w:tc>
        <w:tc>
          <w:tcPr>
            <w:tcW w:type="dxa" w:w="2268"/>
          </w:tcPr>
          <w:p>
            <w:r>
              <w:rPr>
                <w:rFonts w:ascii="Times New Roman" w:hAnsi="Times New Roman"/>
                <w:sz w:val="20"/>
              </w:rPr>
              <w:t>Petrich + Holzschuh</w:t>
            </w:r>
          </w:p>
        </w:tc>
        <w:tc>
          <w:tcPr>
            <w:tcW w:type="dxa" w:w="2268"/>
          </w:tcPr>
          <w:p>
            <w:r>
              <w:rPr>
                <w:rFonts w:ascii="Times New Roman" w:hAnsi="Times New Roman"/>
                <w:sz w:val="20"/>
              </w:rPr>
              <w:t>binnen 1 Monat nach Ablehnungsbescheid</w:t>
            </w:r>
          </w:p>
        </w:tc>
      </w:tr>
      <w:tr>
        <w:tc>
          <w:tcPr>
            <w:tcW w:type="dxa" w:w="2268"/>
          </w:tcPr>
          <w:p>
            <w:r>
              <w:rPr>
                <w:rFonts w:ascii="Times New Roman" w:hAnsi="Times New Roman"/>
                <w:sz w:val="20"/>
              </w:rPr>
              <w:t>Sicherheitsleistung vorbereiten (Helaba-Bankbürgschaft)</w:t>
            </w:r>
          </w:p>
        </w:tc>
        <w:tc>
          <w:tcPr>
            <w:tcW w:type="dxa" w:w="2268"/>
          </w:tcPr>
          <w:p>
            <w:r>
              <w:rPr>
                <w:rFonts w:ascii="Times New Roman" w:hAnsi="Times New Roman"/>
                <w:sz w:val="20"/>
              </w:rPr>
              <w:t>§ 361 Abs. 2 S. 4 AO</w:t>
            </w:r>
          </w:p>
        </w:tc>
        <w:tc>
          <w:tcPr>
            <w:tcW w:type="dxa" w:w="2268"/>
          </w:tcPr>
          <w:p>
            <w:r>
              <w:rPr>
                <w:rFonts w:ascii="Times New Roman" w:hAnsi="Times New Roman"/>
                <w:sz w:val="20"/>
              </w:rPr>
              <w:t>Treasury Mandantin</w:t>
            </w:r>
          </w:p>
        </w:tc>
        <w:tc>
          <w:tcPr>
            <w:tcW w:type="dxa" w:w="2268"/>
          </w:tcPr>
          <w:p>
            <w:r>
              <w:rPr>
                <w:rFonts w:ascii="Times New Roman" w:hAnsi="Times New Roman"/>
                <w:sz w:val="20"/>
              </w:rPr>
              <w:t>sofort, vor erster AdV-Entscheidung</w:t>
            </w:r>
          </w:p>
        </w:tc>
      </w:tr>
      <w:tr>
        <w:tc>
          <w:tcPr>
            <w:tcW w:type="dxa" w:w="2268"/>
          </w:tcPr>
          <w:p>
            <w:r>
              <w:rPr>
                <w:rFonts w:ascii="Times New Roman" w:hAnsi="Times New Roman"/>
                <w:sz w:val="20"/>
              </w:rPr>
              <w:t>Liquiditätsplanung für nicht-ausgesetzten Betrag</w:t>
            </w:r>
          </w:p>
        </w:tc>
        <w:tc>
          <w:tcPr>
            <w:tcW w:type="dxa" w:w="2268"/>
          </w:tcPr>
          <w:p>
            <w:r>
              <w:rPr>
                <w:rFonts w:ascii="Times New Roman" w:hAnsi="Times New Roman"/>
                <w:sz w:val="20"/>
              </w:rPr>
              <w:t>--</w:t>
            </w:r>
          </w:p>
        </w:tc>
        <w:tc>
          <w:tcPr>
            <w:tcW w:type="dxa" w:w="2268"/>
          </w:tcPr>
          <w:p>
            <w:r>
              <w:rPr>
                <w:rFonts w:ascii="Times New Roman" w:hAnsi="Times New Roman"/>
                <w:sz w:val="20"/>
              </w:rPr>
              <w:t>Vandermolen + Treasury</w:t>
            </w:r>
          </w:p>
        </w:tc>
        <w:tc>
          <w:tcPr>
            <w:tcW w:type="dxa" w:w="2268"/>
          </w:tcPr>
          <w:p>
            <w:r>
              <w:rPr>
                <w:rFonts w:ascii="Times New Roman" w:hAnsi="Times New Roman"/>
                <w:sz w:val="20"/>
              </w:rPr>
              <w:t>sofort</w:t>
            </w:r>
          </w:p>
        </w:tc>
      </w:tr>
    </w:tbl>
    <w:p>
      <w:pPr>
        <w:pStyle w:val="Heading2"/>
      </w:pPr>
      <w:r>
        <w:rPr>
          <w:rFonts w:ascii="Times New Roman" w:hAnsi="Times New Roman"/>
        </w:rPr>
        <w:t>Step 5 -- § 16 GrEStG-Prüfung parallel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Aktion</w:t>
            </w:r>
          </w:p>
        </w:tc>
        <w:tc>
          <w:tcPr>
            <w:tcW w:type="dxa" w:w="2268"/>
          </w:tcPr>
          <w:p>
            <w:r>
              <w:rPr>
                <w:rFonts w:ascii="Times New Roman" w:hAnsi="Times New Roman"/>
                <w:b/>
                <w:sz w:val="20"/>
              </w:rPr>
              <w:t>Verfahrensgrundlage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Zielzeitpunkt</w:t>
            </w:r>
          </w:p>
        </w:tc>
      </w:tr>
      <w:tr>
        <w:tc>
          <w:tcPr>
            <w:tcW w:type="dxa" w:w="2268"/>
          </w:tcPr>
          <w:p>
            <w:r>
              <w:rPr>
                <w:rFonts w:ascii="Times New Roman" w:hAnsi="Times New Roman"/>
                <w:sz w:val="20"/>
              </w:rPr>
              <w:t>Tatbestände § 16 GrEStG für jeden Bescheid prüfen (Rückgängigmachung, ändernde Verfügung)</w:t>
            </w:r>
          </w:p>
        </w:tc>
        <w:tc>
          <w:tcPr>
            <w:tcW w:type="dxa" w:w="2268"/>
          </w:tcPr>
          <w:p>
            <w:r>
              <w:rPr>
                <w:rFonts w:ascii="Times New Roman" w:hAnsi="Times New Roman"/>
                <w:sz w:val="20"/>
              </w:rPr>
              <w:t>§ 16 GrEStG</w:t>
            </w:r>
          </w:p>
        </w:tc>
        <w:tc>
          <w:tcPr>
            <w:tcW w:type="dxa" w:w="2268"/>
          </w:tcPr>
          <w:p>
            <w:r>
              <w:rPr>
                <w:rFonts w:ascii="Times New Roman" w:hAnsi="Times New Roman"/>
                <w:sz w:val="20"/>
              </w:rPr>
              <w:t>Petrich</w:t>
            </w:r>
          </w:p>
        </w:tc>
        <w:tc>
          <w:tcPr>
            <w:tcW w:type="dxa" w:w="2268"/>
          </w:tcPr>
          <w:p>
            <w:r>
              <w:rPr>
                <w:rFonts w:ascii="Times New Roman" w:hAnsi="Times New Roman"/>
                <w:sz w:val="20"/>
              </w:rPr>
              <w:t>binnen 4 Wochen</w:t>
            </w:r>
          </w:p>
        </w:tc>
      </w:tr>
      <w:tr>
        <w:tc>
          <w:tcPr>
            <w:tcW w:type="dxa" w:w="2268"/>
          </w:tcPr>
          <w:p>
            <w:r>
              <w:rPr>
                <w:rFonts w:ascii="Times New Roman" w:hAnsi="Times New Roman"/>
                <w:sz w:val="20"/>
              </w:rPr>
              <w:t>Falls einschlägig: Antrag stellen</w:t>
            </w:r>
          </w:p>
        </w:tc>
        <w:tc>
          <w:tcPr>
            <w:tcW w:type="dxa" w:w="2268"/>
          </w:tcPr>
          <w:p>
            <w:r>
              <w:rPr>
                <w:rFonts w:ascii="Times New Roman" w:hAnsi="Times New Roman"/>
                <w:sz w:val="20"/>
              </w:rPr>
              <w:t>§ 16 GrEStG, § 175 AO</w:t>
            </w:r>
          </w:p>
        </w:tc>
        <w:tc>
          <w:tcPr>
            <w:tcW w:type="dxa" w:w="2268"/>
          </w:tcPr>
          <w:p>
            <w:r>
              <w:rPr>
                <w:rFonts w:ascii="Times New Roman" w:hAnsi="Times New Roman"/>
                <w:sz w:val="20"/>
              </w:rPr>
              <w:t>Petrich</w:t>
            </w:r>
          </w:p>
        </w:tc>
        <w:tc>
          <w:tcPr>
            <w:tcW w:type="dxa" w:w="2268"/>
          </w:tcPr>
          <w:p>
            <w:r>
              <w:rPr>
                <w:rFonts w:ascii="Times New Roman" w:hAnsi="Times New Roman"/>
                <w:sz w:val="20"/>
              </w:rPr>
              <w:t>unverzüglich</w:t>
            </w:r>
          </w:p>
        </w:tc>
      </w:tr>
      <w:tr>
        <w:tc>
          <w:tcPr>
            <w:tcW w:type="dxa" w:w="2268"/>
          </w:tcPr>
          <w:p>
            <w:r>
              <w:rPr>
                <w:rFonts w:ascii="Times New Roman" w:hAnsi="Times New Roman"/>
                <w:sz w:val="20"/>
              </w:rPr>
              <w:t>Verkäuferin-Mitwirkung anfordern (Cooperation, ggf. Amendment Nr. 1)</w:t>
            </w:r>
          </w:p>
        </w:tc>
        <w:tc>
          <w:tcPr>
            <w:tcW w:type="dxa" w:w="2268"/>
          </w:tcPr>
          <w:p>
            <w:r>
              <w:rPr>
                <w:rFonts w:ascii="Times New Roman" w:hAnsi="Times New Roman"/>
                <w:sz w:val="20"/>
              </w:rPr>
              <w:t>SPA Sec. 17.5 (e) neu</w:t>
            </w:r>
          </w:p>
        </w:tc>
        <w:tc>
          <w:tcPr>
            <w:tcW w:type="dxa" w:w="2268"/>
          </w:tcPr>
          <w:p>
            <w:r>
              <w:rPr>
                <w:rFonts w:ascii="Times New Roman" w:hAnsi="Times New Roman"/>
                <w:sz w:val="20"/>
              </w:rPr>
              <w:t>Holzschuh</w:t>
            </w:r>
          </w:p>
        </w:tc>
        <w:tc>
          <w:tcPr>
            <w:tcW w:type="dxa" w:w="2268"/>
          </w:tcPr>
          <w:p>
            <w:r>
              <w:rPr>
                <w:rFonts w:ascii="Times New Roman" w:hAnsi="Times New Roman"/>
                <w:sz w:val="20"/>
              </w:rPr>
              <w:t>sofort</w:t>
            </w:r>
          </w:p>
        </w:tc>
      </w:tr>
    </w:tbl>
    <w:p>
      <w:pPr>
        <w:pStyle w:val="Heading2"/>
      </w:pPr>
      <w:r>
        <w:rPr>
          <w:rFonts w:ascii="Times New Roman" w:hAnsi="Times New Roman"/>
        </w:rPr>
        <w:t>Step 6 -- SPA Amendment Nr. 1 verhandeln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Aktion</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Zielzeitpunkt</w:t>
            </w:r>
          </w:p>
        </w:tc>
      </w:tr>
      <w:tr>
        <w:tc>
          <w:tcPr>
            <w:tcW w:type="dxa" w:w="3024"/>
          </w:tcPr>
          <w:p>
            <w:r>
              <w:rPr>
                <w:rFonts w:ascii="Times New Roman" w:hAnsi="Times New Roman"/>
                <w:sz w:val="20"/>
              </w:rPr>
              <w:t>Amendment-Entwurf an Verkäuferin senden</w:t>
            </w:r>
          </w:p>
        </w:tc>
        <w:tc>
          <w:tcPr>
            <w:tcW w:type="dxa" w:w="3024"/>
          </w:tcPr>
          <w:p>
            <w:r>
              <w:rPr>
                <w:rFonts w:ascii="Times New Roman" w:hAnsi="Times New Roman"/>
                <w:sz w:val="20"/>
              </w:rPr>
              <w:t>Holzschuh</w:t>
            </w:r>
          </w:p>
        </w:tc>
        <w:tc>
          <w:tcPr>
            <w:tcW w:type="dxa" w:w="3024"/>
          </w:tcPr>
          <w:p>
            <w:r>
              <w:rPr>
                <w:rFonts w:ascii="Times New Roman" w:hAnsi="Times New Roman"/>
                <w:sz w:val="20"/>
              </w:rPr>
              <w:t>24.05.2026 (erledigt)</w:t>
            </w:r>
          </w:p>
        </w:tc>
      </w:tr>
      <w:tr>
        <w:tc>
          <w:tcPr>
            <w:tcW w:type="dxa" w:w="3024"/>
          </w:tcPr>
          <w:p>
            <w:r>
              <w:rPr>
                <w:rFonts w:ascii="Times New Roman" w:hAnsi="Times New Roman"/>
                <w:sz w:val="20"/>
              </w:rPr>
              <w:t>Telko mit Schramm Wenders Reichardt LLP</w:t>
            </w:r>
          </w:p>
        </w:tc>
        <w:tc>
          <w:tcPr>
            <w:tcW w:type="dxa" w:w="3024"/>
          </w:tcPr>
          <w:p>
            <w:r>
              <w:rPr>
                <w:rFonts w:ascii="Times New Roman" w:hAnsi="Times New Roman"/>
                <w:sz w:val="20"/>
              </w:rPr>
              <w:t>Holzschuh + Alvensleben</w:t>
            </w:r>
          </w:p>
        </w:tc>
        <w:tc>
          <w:tcPr>
            <w:tcW w:type="dxa" w:w="3024"/>
          </w:tcPr>
          <w:p>
            <w:r>
              <w:rPr>
                <w:rFonts w:ascii="Times New Roman" w:hAnsi="Times New Roman"/>
                <w:sz w:val="20"/>
              </w:rPr>
              <w:t>bis 31.05.2026</w:t>
            </w:r>
          </w:p>
        </w:tc>
      </w:tr>
      <w:tr>
        <w:tc>
          <w:tcPr>
            <w:tcW w:type="dxa" w:w="3024"/>
          </w:tcPr>
          <w:p>
            <w:r>
              <w:rPr>
                <w:rFonts w:ascii="Times New Roman" w:hAnsi="Times New Roman"/>
                <w:sz w:val="20"/>
              </w:rPr>
              <w:t>Wenn Einigung: Notarielle Beurkundung Amendment</w:t>
            </w:r>
          </w:p>
        </w:tc>
        <w:tc>
          <w:tcPr>
            <w:tcW w:type="dxa" w:w="3024"/>
          </w:tcPr>
          <w:p>
            <w:r>
              <w:rPr>
                <w:rFonts w:ascii="Times New Roman" w:hAnsi="Times New Roman"/>
                <w:sz w:val="20"/>
              </w:rPr>
              <w:t>Notar Wagensteiner</w:t>
            </w:r>
          </w:p>
        </w:tc>
        <w:tc>
          <w:tcPr>
            <w:tcW w:type="dxa" w:w="3024"/>
          </w:tcPr>
          <w:p>
            <w:r>
              <w:rPr>
                <w:rFonts w:ascii="Times New Roman" w:hAnsi="Times New Roman"/>
                <w:sz w:val="20"/>
              </w:rPr>
              <w:t>bis 14.06.2026</w:t>
            </w:r>
          </w:p>
        </w:tc>
      </w:tr>
      <w:tr>
        <w:tc>
          <w:tcPr>
            <w:tcW w:type="dxa" w:w="3024"/>
          </w:tcPr>
          <w:p>
            <w:r>
              <w:rPr>
                <w:rFonts w:ascii="Times New Roman" w:hAnsi="Times New Roman"/>
                <w:sz w:val="20"/>
              </w:rPr>
              <w:t>Wenn keine Einigung: Status quo akzeptieren, Auslegung in Streitfällen sichern</w:t>
            </w:r>
          </w:p>
        </w:tc>
        <w:tc>
          <w:tcPr>
            <w:tcW w:type="dxa" w:w="3024"/>
          </w:tcPr>
          <w:p>
            <w:r>
              <w:rPr>
                <w:rFonts w:ascii="Times New Roman" w:hAnsi="Times New Roman"/>
                <w:sz w:val="20"/>
              </w:rPr>
              <w:t>Holzschuh</w:t>
            </w:r>
          </w:p>
        </w:tc>
        <w:tc>
          <w:tcPr>
            <w:tcW w:type="dxa" w:w="3024"/>
          </w:tcPr>
          <w:p>
            <w:r>
              <w:rPr>
                <w:rFonts w:ascii="Times New Roman" w:hAnsi="Times New Roman"/>
                <w:sz w:val="20"/>
              </w:rPr>
              <w:t>--</w:t>
            </w:r>
          </w:p>
        </w:tc>
      </w:tr>
    </w:tbl>
    <w:p>
      <w:pPr>
        <w:pStyle w:val="Heading2"/>
      </w:pPr>
      <w:r>
        <w:rPr>
          <w:rFonts w:ascii="Times New Roman" w:hAnsi="Times New Roman"/>
        </w:rPr>
        <w:t>Step 7 -- Hilfsweise FG-Klage vorbereiten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Aktion</w:t>
            </w:r>
          </w:p>
        </w:tc>
        <w:tc>
          <w:tcPr>
            <w:tcW w:type="dxa" w:w="2268"/>
          </w:tcPr>
          <w:p>
            <w:r>
              <w:rPr>
                <w:rFonts w:ascii="Times New Roman" w:hAnsi="Times New Roman"/>
                <w:b/>
                <w:sz w:val="20"/>
              </w:rPr>
              <w:t>Verfahrensgrundlage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Zielzeitpunkt</w:t>
            </w:r>
          </w:p>
        </w:tc>
      </w:tr>
      <w:tr>
        <w:tc>
          <w:tcPr>
            <w:tcW w:type="dxa" w:w="2268"/>
          </w:tcPr>
          <w:p>
            <w:r>
              <w:rPr>
                <w:rFonts w:ascii="Times New Roman" w:hAnsi="Times New Roman"/>
                <w:sz w:val="20"/>
              </w:rPr>
              <w:t>Hauptsacheklage gegen Einspruchsentscheidung vorbereiten</w:t>
            </w:r>
          </w:p>
        </w:tc>
        <w:tc>
          <w:tcPr>
            <w:tcW w:type="dxa" w:w="2268"/>
          </w:tcPr>
          <w:p>
            <w:r>
              <w:rPr>
                <w:rFonts w:ascii="Times New Roman" w:hAnsi="Times New Roman"/>
                <w:sz w:val="20"/>
              </w:rPr>
              <w:t>§ 40 FGO</w:t>
            </w:r>
          </w:p>
        </w:tc>
        <w:tc>
          <w:tcPr>
            <w:tcW w:type="dxa" w:w="2268"/>
          </w:tcPr>
          <w:p>
            <w:r>
              <w:rPr>
                <w:rFonts w:ascii="Times New Roman" w:hAnsi="Times New Roman"/>
                <w:sz w:val="20"/>
              </w:rPr>
              <w:t>Holzschuh + Petrich</w:t>
            </w:r>
          </w:p>
        </w:tc>
        <w:tc>
          <w:tcPr>
            <w:tcW w:type="dxa" w:w="2268"/>
          </w:tcPr>
          <w:p>
            <w:r>
              <w:rPr>
                <w:rFonts w:ascii="Times New Roman" w:hAnsi="Times New Roman"/>
                <w:sz w:val="20"/>
              </w:rPr>
              <w:t>sobald Einspruchsentscheidung ergeht</w:t>
            </w:r>
          </w:p>
        </w:tc>
      </w:tr>
      <w:tr>
        <w:tc>
          <w:tcPr>
            <w:tcW w:type="dxa" w:w="2268"/>
          </w:tcPr>
          <w:p>
            <w:r>
              <w:rPr>
                <w:rFonts w:ascii="Times New Roman" w:hAnsi="Times New Roman"/>
                <w:sz w:val="20"/>
              </w:rPr>
              <w:t>Hilfsweise NZB-Vorbereitung</w:t>
            </w:r>
          </w:p>
        </w:tc>
        <w:tc>
          <w:tcPr>
            <w:tcW w:type="dxa" w:w="2268"/>
          </w:tcPr>
          <w:p>
            <w:r>
              <w:rPr>
                <w:rFonts w:ascii="Times New Roman" w:hAnsi="Times New Roman"/>
                <w:sz w:val="20"/>
              </w:rPr>
              <w:t>§ 115 FGO</w:t>
            </w:r>
          </w:p>
        </w:tc>
        <w:tc>
          <w:tcPr>
            <w:tcW w:type="dxa" w:w="2268"/>
          </w:tcPr>
          <w:p>
            <w:r>
              <w:rPr>
                <w:rFonts w:ascii="Times New Roman" w:hAnsi="Times New Roman"/>
                <w:sz w:val="20"/>
              </w:rPr>
              <w:t>Holzschuh</w:t>
            </w:r>
          </w:p>
        </w:tc>
        <w:tc>
          <w:tcPr>
            <w:tcW w:type="dxa" w:w="2268"/>
          </w:tcPr>
          <w:p>
            <w:r>
              <w:rPr>
                <w:rFonts w:ascii="Times New Roman" w:hAnsi="Times New Roman"/>
                <w:sz w:val="20"/>
              </w:rPr>
              <w:t>falls FG ablehnt</w:t>
            </w:r>
          </w:p>
        </w:tc>
      </w:tr>
      <w:tr>
        <w:tc>
          <w:tcPr>
            <w:tcW w:type="dxa" w:w="2268"/>
          </w:tcPr>
          <w:p>
            <w:r>
              <w:rPr>
                <w:rFonts w:ascii="Times New Roman" w:hAnsi="Times New Roman"/>
                <w:sz w:val="20"/>
              </w:rPr>
              <w:t>Ggf. Beitritt BMF / Länderbehörden</w:t>
            </w:r>
          </w:p>
        </w:tc>
        <w:tc>
          <w:tcPr>
            <w:tcW w:type="dxa" w:w="2268"/>
          </w:tcPr>
          <w:p>
            <w:r>
              <w:rPr>
                <w:rFonts w:ascii="Times New Roman" w:hAnsi="Times New Roman"/>
                <w:sz w:val="20"/>
              </w:rPr>
              <w:t>§ 60 FGO</w:t>
            </w:r>
          </w:p>
        </w:tc>
        <w:tc>
          <w:tcPr>
            <w:tcW w:type="dxa" w:w="2268"/>
          </w:tcPr>
          <w:p>
            <w:r>
              <w:rPr>
                <w:rFonts w:ascii="Times New Roman" w:hAnsi="Times New Roman"/>
                <w:sz w:val="20"/>
              </w:rPr>
              <w:t>--</w:t>
            </w:r>
          </w:p>
        </w:tc>
        <w:tc>
          <w:tcPr>
            <w:tcW w:type="dxa" w:w="2268"/>
          </w:tcPr>
          <w:p>
            <w:r>
              <w:rPr>
                <w:rFonts w:ascii="Times New Roman" w:hAnsi="Times New Roman"/>
                <w:sz w:val="20"/>
              </w:rPr>
              <w:t>bei Bedarf</w:t>
            </w:r>
          </w:p>
        </w:tc>
      </w:tr>
    </w:tbl>
    <w:p>
      <w:pPr>
        <w:pStyle w:val="Heading2"/>
      </w:pPr>
      <w:r>
        <w:rPr>
          <w:rFonts w:ascii="Times New Roman" w:hAnsi="Times New Roman"/>
        </w:rPr>
        <w:t>Step 8 -- Interne Kommunikation und Bilanzierung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Aktion</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Zielzeitpunkt</w:t>
            </w:r>
          </w:p>
        </w:tc>
      </w:tr>
      <w:tr>
        <w:tc>
          <w:tcPr>
            <w:tcW w:type="dxa" w:w="3024"/>
          </w:tcPr>
          <w:p>
            <w:r>
              <w:rPr>
                <w:rFonts w:ascii="Times New Roman" w:hAnsi="Times New Roman"/>
                <w:sz w:val="20"/>
              </w:rPr>
              <w:t>Bilanzielle Rückstellung Q2/2026 für GrESt-Doppelrisiko</w:t>
            </w:r>
          </w:p>
        </w:tc>
        <w:tc>
          <w:tcPr>
            <w:tcW w:type="dxa" w:w="3024"/>
          </w:tcPr>
          <w:p>
            <w:r>
              <w:rPr>
                <w:rFonts w:ascii="Times New Roman" w:hAnsi="Times New Roman"/>
                <w:sz w:val="20"/>
              </w:rPr>
              <w:t>Treasury / Killeen</w:t>
            </w:r>
          </w:p>
        </w:tc>
        <w:tc>
          <w:tcPr>
            <w:tcW w:type="dxa" w:w="3024"/>
          </w:tcPr>
          <w:p>
            <w:r>
              <w:rPr>
                <w:rFonts w:ascii="Times New Roman" w:hAnsi="Times New Roman"/>
                <w:sz w:val="20"/>
              </w:rPr>
              <w:t>bis 30.06.2026</w:t>
            </w:r>
          </w:p>
        </w:tc>
      </w:tr>
      <w:tr>
        <w:tc>
          <w:tcPr>
            <w:tcW w:type="dxa" w:w="3024"/>
          </w:tcPr>
          <w:p>
            <w:r>
              <w:rPr>
                <w:rFonts w:ascii="Times New Roman" w:hAnsi="Times New Roman"/>
                <w:sz w:val="20"/>
              </w:rPr>
              <w:t>Update Investor Relations -- nur Konzern-Routinemitteilung Q2</w:t>
            </w:r>
          </w:p>
        </w:tc>
        <w:tc>
          <w:tcPr>
            <w:tcW w:type="dxa" w:w="3024"/>
          </w:tcPr>
          <w:p>
            <w:r>
              <w:rPr>
                <w:rFonts w:ascii="Times New Roman" w:hAnsi="Times New Roman"/>
                <w:sz w:val="20"/>
              </w:rPr>
              <w:t>IR-Team Silver Harbour</w:t>
            </w:r>
          </w:p>
        </w:tc>
        <w:tc>
          <w:tcPr>
            <w:tcW w:type="dxa" w:w="3024"/>
          </w:tcPr>
          <w:p>
            <w:r>
              <w:rPr>
                <w:rFonts w:ascii="Times New Roman" w:hAnsi="Times New Roman"/>
                <w:sz w:val="20"/>
              </w:rPr>
              <w:t>31.07.2026</w:t>
            </w:r>
          </w:p>
        </w:tc>
      </w:tr>
      <w:tr>
        <w:tc>
          <w:tcPr>
            <w:tcW w:type="dxa" w:w="3024"/>
          </w:tcPr>
          <w:p>
            <w:r>
              <w:rPr>
                <w:rFonts w:ascii="Times New Roman" w:hAnsi="Times New Roman"/>
                <w:sz w:val="20"/>
              </w:rPr>
              <w:t>Adhoc-Prüfung (Marktmissbrauchsverordnung)</w:t>
            </w:r>
          </w:p>
        </w:tc>
        <w:tc>
          <w:tcPr>
            <w:tcW w:type="dxa" w:w="3024"/>
          </w:tcPr>
          <w:p>
            <w:r>
              <w:rPr>
                <w:rFonts w:ascii="Times New Roman" w:hAnsi="Times New Roman"/>
                <w:sz w:val="20"/>
              </w:rPr>
              <w:t>GC Brennan</w:t>
            </w:r>
          </w:p>
        </w:tc>
        <w:tc>
          <w:tcPr>
            <w:tcW w:type="dxa" w:w="3024"/>
          </w:tcPr>
          <w:p>
            <w:r>
              <w:rPr>
                <w:rFonts w:ascii="Times New Roman" w:hAnsi="Times New Roman"/>
                <w:sz w:val="20"/>
              </w:rPr>
              <w:t>sobald Bescheid eingeht, voraussichtlich nicht erfüllt</w:t>
            </w:r>
          </w:p>
        </w:tc>
      </w:tr>
      <w:tr>
        <w:tc>
          <w:tcPr>
            <w:tcW w:type="dxa" w:w="3024"/>
          </w:tcPr>
          <w:p>
            <w:r>
              <w:rPr>
                <w:rFonts w:ascii="Times New Roman" w:hAnsi="Times New Roman"/>
                <w:sz w:val="20"/>
              </w:rPr>
              <w:t>Quartalsbericht Q2/2026 -- GrESt-Position im Kommentar</w:t>
            </w:r>
          </w:p>
        </w:tc>
        <w:tc>
          <w:tcPr>
            <w:tcW w:type="dxa" w:w="3024"/>
          </w:tcPr>
          <w:p>
            <w:r>
              <w:rPr>
                <w:rFonts w:ascii="Times New Roman" w:hAnsi="Times New Roman"/>
                <w:sz w:val="20"/>
              </w:rPr>
              <w:t>IR-Team</w:t>
            </w:r>
          </w:p>
        </w:tc>
        <w:tc>
          <w:tcPr>
            <w:tcW w:type="dxa" w:w="3024"/>
          </w:tcPr>
          <w:p>
            <w:r>
              <w:rPr>
                <w:rFonts w:ascii="Times New Roman" w:hAnsi="Times New Roman"/>
                <w:sz w:val="20"/>
              </w:rPr>
              <w:t>mit Q2-Veröffentlichung</w:t>
            </w:r>
          </w:p>
        </w:tc>
      </w:tr>
    </w:tbl>
    <w:p>
      <w:pPr>
        <w:pStyle w:val="Heading2"/>
      </w:pPr>
      <w:r>
        <w:rPr>
          <w:rFonts w:ascii="Times New Roman" w:hAnsi="Times New Roman"/>
        </w:rPr>
        <w:t>Kritische Annahmen</w:t>
      </w:r>
    </w:p>
    <w:p>
      <w:pPr>
        <w:pStyle w:val="ListNumber"/>
      </w:pPr>
      <w:r>
        <w:t>Beide Festsetzungen (§ 1 Abs. 2b und § 1 Abs. 3 GrEStG) werden tatsächlich erlassen. Falls das FA von einer Doppelfestsetzung absieht, entfällt die Streitstrategie.</w:t>
      </w:r>
    </w:p>
    <w:p>
      <w:pPr>
        <w:pStyle w:val="ListNumber"/>
      </w:pPr>
      <w:r>
        <w:t>Die jüngere BFH-AdV-Linie wird im Aussetzungsverfahren tragen, ohne dass das Hauptsacheverfahren mit Sicherheit gewonnen wird.</w:t>
      </w:r>
    </w:p>
    <w:p>
      <w:pPr>
        <w:pStyle w:val="ListNumber"/>
      </w:pPr>
      <w:r>
        <w:t>Die Verkäuferin Nordtor Beteiligungen GmbH wirkt aufgrund der SPA-Klauseln 17.4 / 17.5 mit, auch wenn das Amendment Nr. 1 nicht abgeschlossen wird.</w:t>
      </w:r>
    </w:p>
    <w:p>
      <w:pPr>
        <w:pStyle w:val="Heading2"/>
      </w:pPr>
      <w:r>
        <w:rPr>
          <w:rFonts w:ascii="Times New Roman" w:hAnsi="Times New Roman"/>
        </w:rPr>
        <w:t>Eskalationsregeln</w:t>
      </w:r>
    </w:p>
    <w:p>
      <w:pPr>
        <w:pStyle w:val="ListBullet"/>
      </w:pPr>
      <w:r>
        <w:t xml:space="preserve">Bei Bescheideingang </w:t>
      </w:r>
      <w:r>
        <w:rPr>
          <w:b/>
        </w:rPr>
        <w:t>innerhalb 24 Stunden</w:t>
      </w:r>
      <w:r>
        <w:t xml:space="preserve"> intern eskalieren an Alvensleben + Killeen.</w:t>
      </w:r>
    </w:p>
    <w:p>
      <w:pPr>
        <w:pStyle w:val="ListBullet"/>
      </w:pPr>
      <w:r>
        <w:t>Bei Ablehnung AdV durch FA -- sofort FG-AdV vorbereiten.</w:t>
      </w:r>
    </w:p>
    <w:p>
      <w:pPr>
        <w:pStyle w:val="ListBullet"/>
      </w:pPr>
      <w:r>
        <w:t>Bei Sicherheitsleistungsforderung &gt; 4,8 Mio. EUR -- Treasury Mandantin nicht mehr abdeckbar; Eskalation an CFO Killeen / CEO Ó Conchobhair.</w:t>
      </w:r>
    </w:p>
    <w:p>
      <w:pPr>
        <w:pStyle w:val="ListBullet"/>
      </w:pPr>
      <w:r>
        <w:t>Bei Verkäuferin-Verweigerung der Cooperation -- Holzschuh prüft Schadensersatz nach SPA-Klausel 17.4 (d).</w:t>
      </w:r>
    </w:p>
    <w:p>
      <w:pPr>
        <w:pStyle w:val="Heading2"/>
      </w:pPr>
      <w:r>
        <w:rPr>
          <w:rFonts w:ascii="Times New Roman" w:hAnsi="Times New Roman"/>
        </w:rPr>
        <w:t>Vergleichsmöglichkeiten</w:t>
      </w:r>
    </w:p>
    <w:p>
      <w:pPr>
        <w:jc w:val="left"/>
      </w:pPr>
      <w:r>
        <w:t xml:space="preserve">Eine Einigung mit dem FA über eine </w:t>
      </w:r>
      <w:r>
        <w:rPr>
          <w:b/>
        </w:rPr>
        <w:t>Einzelfestsetzung</w:t>
      </w:r>
      <w:r>
        <w:t xml:space="preserve"> unter Verzicht auf die zweite ist denkbar, aber unter Verwaltungsanweisung schwierig. Die Mandantin (Killeen) hat signalisiert, dass eine geräuschlose Lösung auch über eine "freiwillige Höchstbetragsvereinbarung" denkbar wäre, wenn das FA im Gegenzug die zweite Festsetzung nicht erlässt. Diese Variante würde die Bilanzposition stabilisieren und ist im internen Memo als "Option B" vermerkt.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