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Closing Memo Projekt Waldkrone -- Mandantenversion</w:t>
      </w:r>
    </w:p>
    <w:p>
      <w:pPr>
        <w:jc w:val="left"/>
      </w:pPr>
      <w:r>
        <w:rPr>
          <w:b/>
        </w:rPr>
        <w:t>Adressat:</w:t>
      </w:r>
      <w:r>
        <w:t xml:space="preserve"> Sarah Killeen (CFO Silver Harbour Capital plc), Niall Brennan (GC), Lukas Vandermolen (intern Tax)</w:t>
      </w:r>
    </w:p>
    <w:p>
      <w:pPr>
        <w:jc w:val="left"/>
      </w:pPr>
      <w:r>
        <w:rPr>
          <w:b/>
        </w:rPr>
        <w:t>Verfasser:</w:t>
      </w:r>
      <w:r>
        <w:t xml:space="preserve"> Dr. Bertram Holzschuh, Counsel Tax</w:t>
      </w:r>
    </w:p>
    <w:p>
      <w:pPr>
        <w:jc w:val="left"/>
      </w:pPr>
      <w:r>
        <w:rPr>
          <w:b/>
        </w:rPr>
        <w:t>Mitwirkung:</w:t>
      </w:r>
      <w:r>
        <w:t xml:space="preserve"> Susanne Petrich, Dr. Henriette Alvensleben (Corporate)</w:t>
      </w:r>
    </w:p>
    <w:p>
      <w:pPr>
        <w:jc w:val="left"/>
      </w:pPr>
      <w:r>
        <w:rPr>
          <w:b/>
        </w:rPr>
        <w:t>Datum:</w:t>
      </w:r>
      <w:r>
        <w:t xml:space="preserve"> 31.05.2026</w:t>
      </w:r>
    </w:p>
    <w:p>
      <w:pPr>
        <w:jc w:val="left"/>
      </w:pPr>
      <w:r>
        <w:rPr>
          <w:b/>
        </w:rPr>
        <w:t>Aktenzeichen:</w:t>
      </w:r>
      <w:r>
        <w:t xml:space="preserve"> AKB 2025-1144 / Waldkrone / Closing Memo v3</w:t>
      </w:r>
    </w:p>
    <w:p>
      <w:pPr>
        <w:jc w:val="left"/>
      </w:pPr>
      <w:r>
        <w:rPr>
          <w:b/>
        </w:rPr>
        <w:t>Vertraulichkeit:</w:t>
      </w:r>
      <w:r>
        <w:t xml:space="preserve"> Privileged &amp; Confidential -- Attorney/Client Communication</w:t>
      </w:r>
    </w:p>
    <w:p>
      <w:pPr>
        <w:pStyle w:val="Heading2"/>
      </w:pPr>
      <w:r>
        <w:rPr>
          <w:rFonts w:ascii="Times New Roman" w:hAnsi="Times New Roman"/>
        </w:rPr>
        <w:t>1. Status</w:t>
      </w:r>
    </w:p>
    <w:p>
      <w:pPr>
        <w:jc w:val="left"/>
      </w:pPr>
      <w:r>
        <w:t>Closing ist seit 30.04.2026 vollzogen. Die Gesellschafterliste ist beim AG Potsdam aufgenommen (05.05.2026). Sämtliche Closing-Bedingungen waren bei Closing erfüllt. Der wirtschaftliche Übergang ist bestätigt; die operative Kontrolle über die Waldkrone Logistik GmbH liegt bei der Käuferin.</w:t>
      </w:r>
    </w:p>
    <w:p>
      <w:pPr>
        <w:jc w:val="left"/>
      </w:pPr>
      <w:r>
        <w:t>Die Anzeigen nach § 19 GrEStG sind beim FA Oranienburg (Brandenburg), FA Frankfurt am Main IV (Hessen) und FA Essen-Süd (NRW) am 08.05.2026 eingegangen. Eingangsbestätigungen liegen vor. Erste Anhörung des FA Oranienburg ist seit 19.05.2026 in Bearbeitung.</w:t>
      </w:r>
    </w:p>
    <w:p>
      <w:pPr>
        <w:pStyle w:val="Heading2"/>
      </w:pPr>
      <w:r>
        <w:rPr>
          <w:rFonts w:ascii="Times New Roman" w:hAnsi="Times New Roman"/>
        </w:rPr>
        <w:t>2. Steuerliche Einordnung</w:t>
      </w:r>
    </w:p>
    <w:p>
      <w:pPr>
        <w:jc w:val="left"/>
      </w:pPr>
      <w:r>
        <w:t xml:space="preserve">Der wirtschaftlich einheitliche Erwerbsvorgang (Closing 30.04.2026) unterliegt der Grunderwerbsteuer dem Grunde nach. Die Steuerbelastung ist mit ca. </w:t>
      </w:r>
      <w:r>
        <w:rPr>
          <w:b/>
        </w:rPr>
        <w:t>2,22 Mio. EUR</w:t>
      </w:r>
      <w:r>
        <w:t xml:space="preserve"> in der Locked-Box-Bewertung berücksichtigt und durch den Escrow (2,4 Mio. EUR) wirtschaftlich abgedeckt.</w:t>
      </w:r>
    </w:p>
    <w:p>
      <w:pPr>
        <w:jc w:val="left"/>
      </w:pPr>
      <w:r>
        <w:t xml:space="preserve">Die Verwaltung deutet jedoch eine </w:t>
      </w:r>
      <w:r>
        <w:rPr>
          <w:b/>
        </w:rPr>
        <w:t>zusätzliche Festsetzung</w:t>
      </w:r>
      <w:r>
        <w:t xml:space="preserve"> an, die sich aus dem Auseinanderfallen von Signing (12.12.2025) und Closing (30.04.2026) ergeben soll. Diese zusätzliche Festsetzung würde die Belastung auf ca. </w:t>
      </w:r>
      <w:r>
        <w:rPr>
          <w:b/>
        </w:rPr>
        <w:t>4,44 Mio. EUR</w:t>
      </w:r>
      <w:r>
        <w:t xml:space="preserve"> erhöhen und den Escrow überschreiten.</w:t>
      </w:r>
    </w:p>
    <w:p>
      <w:pPr>
        <w:jc w:val="left"/>
      </w:pPr>
      <w:r>
        <w:t>Wir halten die zusätzliche Festsetzung nach der jüngeren BFH-AdV-Rechtsprechung für angreifbar. Die Erfolgsaussichten im Hauptsacheverfahren sind aus heutiger Sicht "offen, aber nicht aussichtslos"; die Erfolgsaussichten im Aussetzungsverfahren sind "gut".</w:t>
      </w:r>
    </w:p>
    <w:p>
      <w:pPr>
        <w:pStyle w:val="Heading2"/>
      </w:pPr>
      <w:r>
        <w:rPr>
          <w:rFonts w:ascii="Times New Roman" w:hAnsi="Times New Roman"/>
        </w:rPr>
        <w:t>3. Strategie</w:t>
      </w:r>
    </w:p>
    <w:p>
      <w:pPr>
        <w:jc w:val="left"/>
      </w:pPr>
      <w:r>
        <w:t>Wir empfehlen folgende Strategie:</w:t>
      </w:r>
    </w:p>
    <w:p>
      <w:pPr>
        <w:pStyle w:val="Heading3"/>
      </w:pPr>
      <w:r>
        <w:rPr>
          <w:rFonts w:ascii="Times New Roman" w:hAnsi="Times New Roman"/>
        </w:rPr>
        <w:t>3.1 Defensive Linie (Vorrang)</w:t>
      </w:r>
    </w:p>
    <w:p>
      <w:pPr>
        <w:pStyle w:val="ListBullet"/>
      </w:pPr>
      <w:r>
        <w:t>Anerkennung einer einfachen Festsetzung auf den Closing-Erwerb (§ 1 Abs. 2b GrEStG); keine Beanstandung dem Grunde nach.</w:t>
      </w:r>
    </w:p>
    <w:p>
      <w:pPr>
        <w:pStyle w:val="ListBullet"/>
      </w:pPr>
      <w:r>
        <w:t>Angriff auf die zusätzliche Festsetzung (§ 1 Abs. 3 GrEStG oder Signing-Anknüpfung) durch Einspruch + AdV.</w:t>
      </w:r>
    </w:p>
    <w:p>
      <w:pPr>
        <w:pStyle w:val="ListBullet"/>
      </w:pPr>
      <w:r>
        <w:t>Parallel Antrag nach § 16 GrEStG prüfen, falls Rückgängigmachung möglich ist.</w:t>
      </w:r>
    </w:p>
    <w:p>
      <w:pPr>
        <w:pStyle w:val="Heading3"/>
      </w:pPr>
      <w:r>
        <w:rPr>
          <w:rFonts w:ascii="Times New Roman" w:hAnsi="Times New Roman"/>
        </w:rPr>
        <w:t>3.2 Liquiditätsmanagement</w:t>
      </w:r>
    </w:p>
    <w:p>
      <w:pPr>
        <w:pStyle w:val="ListBullet"/>
      </w:pPr>
      <w:r>
        <w:t xml:space="preserve">Escrow bleibt </w:t>
      </w:r>
      <w:r>
        <w:rPr>
          <w:b/>
        </w:rPr>
        <w:t>blockiert</w:t>
      </w:r>
      <w:r>
        <w:t xml:space="preserve"> bis zur Klärung.</w:t>
      </w:r>
    </w:p>
    <w:p>
      <w:pPr>
        <w:pStyle w:val="ListBullet"/>
      </w:pPr>
      <w:r>
        <w:t>Bankbürgschaft Helaba für eventuelle Sicherheitsleistung Stand-by.</w:t>
      </w:r>
    </w:p>
    <w:p>
      <w:pPr>
        <w:pStyle w:val="ListBullet"/>
      </w:pPr>
      <w:r>
        <w:t>Brückenfinanzierung über bestehende Konsortiallinie (ING/Helaba/UniCredit) vorbereitet, bis zu 2,5 Mio. EUR Zwischenliquidität verfügbar.</w:t>
      </w:r>
    </w:p>
    <w:p>
      <w:pPr>
        <w:pStyle w:val="Heading3"/>
      </w:pPr>
      <w:r>
        <w:rPr>
          <w:rFonts w:ascii="Times New Roman" w:hAnsi="Times New Roman"/>
        </w:rPr>
        <w:t>3.3 Vertragliche Absicherung</w:t>
      </w:r>
    </w:p>
    <w:p>
      <w:pPr>
        <w:pStyle w:val="ListBullet"/>
      </w:pPr>
      <w:r>
        <w:t xml:space="preserve">SPA Amendment Nr. 1 verhandeln (siehe </w:t>
      </w:r>
      <w:r>
        <w:t>11-tax-indemnity-letter.md</w:t>
      </w:r>
      <w:r>
        <w:t>).</w:t>
      </w:r>
    </w:p>
    <w:p>
      <w:pPr>
        <w:pStyle w:val="ListBullet"/>
      </w:pPr>
      <w:r>
        <w:t>Ziel: Cooperation-Pflicht für § 16 GrEStG, Escrow-Nutzung für Sicherheitsleistung, klare Signing-Closing-Doppelregelung.</w:t>
      </w:r>
    </w:p>
    <w:p>
      <w:pPr>
        <w:pStyle w:val="Heading3"/>
      </w:pPr>
      <w:r>
        <w:rPr>
          <w:rFonts w:ascii="Times New Roman" w:hAnsi="Times New Roman"/>
        </w:rPr>
        <w:t>3.4 Bilanzielle Abbildung</w:t>
      </w:r>
    </w:p>
    <w:p>
      <w:pPr>
        <w:pStyle w:val="ListBullet"/>
      </w:pPr>
      <w:r>
        <w:t>Q2/2026 Konzernabschluss Silver Harbour Capital plc: Rückstellung in Höhe von 4,5 Mio. EUR für GrESt-Risiko (Einfachbelastung 2,22 Mio. EUR plus 2,2 Mio. EUR Risikozuschlag für Doppelbelastung plus Verfahrenskosten 100.000 EUR).</w:t>
      </w:r>
    </w:p>
    <w:p>
      <w:pPr>
        <w:pStyle w:val="ListBullet"/>
      </w:pPr>
      <w:r>
        <w:t>Keine Adhoc-Mitteilung erforderlich, weil GrESt-Risiko unterhalb der Wesentlichkeitsschwelle der Mandantin (200 Mio. EUR Buchwert deutsche Logistikportfolio).</w:t>
      </w:r>
    </w:p>
    <w:p>
      <w:pPr>
        <w:pStyle w:val="ListBullet"/>
      </w:pPr>
      <w:r>
        <w:t>Q2-Quartalskommentar enthält Hinweis "ongoing tax assessment proceedings regarding RETT in connection with the Waldkrone acquisition".</w:t>
      </w:r>
    </w:p>
    <w:p>
      <w:pPr>
        <w:pStyle w:val="Heading2"/>
      </w:pPr>
      <w:r>
        <w:rPr>
          <w:rFonts w:ascii="Times New Roman" w:hAnsi="Times New Roman"/>
        </w:rPr>
        <w:t>4. Risikomatrix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Eintrittswahrscheinlichkeit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Schadenshöhe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Risikohöhe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Einfachbelastung (eingeplant)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2.220.000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erwartet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Doppelbelastung (zusätzlich)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2.220.000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Säumniszuschläge / Verzugszinsen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 (bei AdV-Erfolg gering)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200.000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Sicherheitsleistung (Bürgschaftskosten)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20.000 -- 35.000 p. a.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6a-Rückforderung für Vorab-Umstrukturierung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500.000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FG-Verfahren / Beweismittelkosten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80.000 -- 150.000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Reputationsrisiko Mandantin (Investorenkommunikation)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quantifizierbar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 Zeitschiene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31.05. -- 06.06.2026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Step Plan v2 final, Amendment Nr. 1 verhandeln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06.06.2026 -- ca. 20.06.2026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Bescheideingang erwarten (FA-Praxis: Bescheid binnen 6 Wochen nach Anhörung)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binnen 1 Monat nach Bekanntgabe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 + AdV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Q3/2026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 mit FA, ggf. Einspruchsentscheidung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Q4/2026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 Ablehnung Einspruchsentscheidung: FG-Klage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Hauptsacheverfahren FG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2028 / 2029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ggf. BFH-Revision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6. Empfehlung an Mandantschaft</w:t>
      </w:r>
    </w:p>
    <w:p>
      <w:pPr>
        <w:pStyle w:val="ListNumber"/>
      </w:pPr>
      <w:r>
        <w:t xml:space="preserve">Step Plan v2 freigeben (siehe </w:t>
      </w:r>
      <w:r>
        <w:t>09-step-plan-deal-notiz.md</w:t>
      </w:r>
      <w:r>
        <w:t>).</w:t>
      </w:r>
    </w:p>
    <w:p>
      <w:pPr>
        <w:pStyle w:val="ListNumber"/>
      </w:pPr>
      <w:r>
        <w:t>Amendment Nr. 1 verhandeln; geräuschlos und ohne Investorenkommunikation.</w:t>
      </w:r>
    </w:p>
    <w:p>
      <w:pPr>
        <w:pStyle w:val="ListNumber"/>
      </w:pPr>
      <w:r>
        <w:t>Bankbürgschaft Helaba aktivieren.</w:t>
      </w:r>
    </w:p>
    <w:p>
      <w:pPr>
        <w:pStyle w:val="ListNumber"/>
      </w:pPr>
      <w:r>
        <w:t>Bilanzielle Rückstellung 4,5 Mio. EUR im Q2/2026 einbuchen.</w:t>
      </w:r>
    </w:p>
    <w:p>
      <w:pPr>
        <w:pStyle w:val="ListNumber"/>
      </w:pPr>
      <w:r>
        <w:t>Strategische Linie "AdV gezielt gegen Doppelbelastung" nicht öffentlich kommunizieren -- BFH-AdV-Linie ist im Markt bekannt, aber unsere konkrete Mandantsposition bleibt vertraulich.</w:t>
      </w:r>
    </w:p>
    <w:p>
      <w:pPr>
        <w:pStyle w:val="Heading2"/>
      </w:pPr>
      <w:r>
        <w:rPr>
          <w:rFonts w:ascii="Times New Roman" w:hAnsi="Times New Roman"/>
        </w:rPr>
        <w:t>7. Anhänge zu diesem Memo</w:t>
      </w:r>
    </w:p>
    <w:p>
      <w:pPr>
        <w:pStyle w:val="ListBullet"/>
      </w:pPr>
      <w:r>
        <w:t>Anhang A: Bescheidkette Stand 30.05.2026 (intern).</w:t>
      </w:r>
    </w:p>
    <w:p>
      <w:pPr>
        <w:pStyle w:val="ListBullet"/>
      </w:pPr>
      <w:r>
        <w:t>Anhang B: Liquiditätsplan Q2 / Q3 2026 (intern, Treasury).</w:t>
      </w:r>
    </w:p>
    <w:p>
      <w:pPr>
        <w:pStyle w:val="ListBullet"/>
      </w:pPr>
      <w:r>
        <w:t xml:space="preserve">Anhang C: Step Plan v2 (siehe </w:t>
      </w:r>
      <w:r>
        <w:t>09-step-plan-deal-notiz.md</w:t>
      </w:r>
      <w:r>
        <w:t>).</w:t>
      </w:r>
    </w:p>
    <w:p>
      <w:pPr>
        <w:pStyle w:val="ListBullet"/>
      </w:pPr>
      <w:r>
        <w:t xml:space="preserve">Anhang D: SPA Amendment Nr. 1 Entwurf (siehe </w:t>
      </w:r>
      <w:r>
        <w:t>11-tax-indemnity-letter.md</w:t>
      </w:r>
      <w:r>
        <w:t>).</w:t>
      </w:r>
    </w:p>
    <w:p>
      <w:pPr>
        <w:pStyle w:val="ListBullet"/>
      </w:pPr>
      <w:r>
        <w:t xml:space="preserve">Anhang E: BMF-Anwendungserlass-Bezug (siehe </w:t>
      </w:r>
      <w:r>
        <w:t>12-bmf-anwendungserlass-bezug.md</w:t>
      </w:r>
      <w:r>
        <w:t>).</w:t>
      </w:r>
    </w:p>
    <w:p>
      <w:pPr>
        <w:pStyle w:val="ListBullet"/>
      </w:pPr>
      <w:r>
        <w:t xml:space="preserve">Anhang F: Kaufpreis-Allokationstabelle (siehe </w:t>
      </w:r>
      <w:r>
        <w:t>13-kaufpreis-allokation.md</w:t>
      </w:r>
      <w:r>
        <w:t>).</w:t>
      </w:r>
    </w:p>
    <w:p>
      <w:pPr>
        <w:pStyle w:val="Heading2"/>
      </w:pPr>
      <w:r>
        <w:rPr>
          <w:rFonts w:ascii="Times New Roman" w:hAnsi="Times New Roman"/>
        </w:rPr>
        <w:t>8. Vorbehalte</w:t>
      </w:r>
    </w:p>
    <w:p>
      <w:pPr>
        <w:jc w:val="left"/>
      </w:pPr>
      <w:r>
        <w:t>Diese Einschätzung beruht auf dem Sach- und Rechtsstand vom 31.05.2026. Sie kann sich ändern, wenn:</w:t>
      </w:r>
    </w:p>
    <w:p>
      <w:pPr>
        <w:pStyle w:val="ListBullet"/>
      </w:pPr>
      <w:r>
        <w:t>Das FA andere Bescheide erlässt als angekündigt (z. B. dritte Festsetzung wegen § 1 Abs. 2a, falls eine konzerninterne Zwischenstufe übersehen wurde).</w:t>
      </w:r>
    </w:p>
    <w:p>
      <w:pPr>
        <w:pStyle w:val="ListBullet"/>
      </w:pPr>
      <w:r>
        <w:t>Der BFH die AdV-Linie revidiert (im Februar 2026 lag ein Vorlagebeschluss zum BVerfG vor, der nach Auskunft der BFH-Pressestelle noch nicht entschieden ist).</w:t>
      </w:r>
    </w:p>
    <w:p>
      <w:pPr>
        <w:pStyle w:val="ListBullet"/>
      </w:pPr>
      <w:r>
        <w:t>Die Mandantin den Sachverhalt ergänzt (insbesondere: weitere mittelbare Gesellschafterwechsel, die in der Anzeige nicht erwähnt wurden).</w:t>
      </w:r>
    </w:p>
    <w:p>
      <w:pPr>
        <w:pStyle w:val="ListBullet"/>
      </w:pPr>
      <w:r>
        <w:t>Das BMF einen Anwendungserlass mit abweichender Verwaltungsauffassung herausgibt.</w:t>
      </w:r>
    </w:p>
    <w:p>
      <w:pPr>
        <w:jc w:val="left"/>
      </w:pPr>
      <w:r>
        <w:t>Wir empfehlen, dieses Memo bei jeder wesentlichen Entwicklung zu aktualisieren (geplante v4 nach Bescheideingang).</w:t>
      </w:r>
    </w:p>
    <w:p>
      <w:pPr>
        <w:pStyle w:val="Heading2"/>
      </w:pPr>
      <w:r>
        <w:rPr>
          <w:rFonts w:ascii="Times New Roman" w:hAnsi="Times New Roman"/>
        </w:rPr>
        <w:t>9. Honorar</w:t>
      </w:r>
    </w:p>
    <w:p>
      <w:pPr>
        <w:jc w:val="left"/>
      </w:pPr>
      <w:r>
        <w:t>Die bisherige Bearbeitung ist im Mandatsangebot AKB 2025-1144 vom 10.11.2025 als Festpreis Closing (45.000 EUR netto) abgedeckt. Die Post-Closing-Verteidigung gegen die Doppelfestsetzung ist als Zeitabrechnung nach RVG bzw. nach Honorarvereinbarung (HVA 2025-1144-Tax, 380 EUR / Std. Counsel, 280 EUR / Std. Senior Associate, 200 EUR / Std. Associate) vereinbart. Erwarteter Aufwand bis Bescheidklärung 80 -- 120 Stunden.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