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BMF-Anwendungserlass § 1 Abs. 2a, 2b, 3 GrEStG -- Bezugnahme und Argumentationsstütze</w:t>
      </w:r>
    </w:p>
    <w:p>
      <w:pPr>
        <w:jc w:val="left"/>
      </w:pPr>
      <w:r>
        <w:rPr>
          <w:b/>
        </w:rPr>
        <w:t>Bearbeitung:</w:t>
      </w:r>
      <w:r>
        <w:t xml:space="preserve"> Susanne Petrich, Senior Associate Tax</w:t>
      </w:r>
    </w:p>
    <w:p>
      <w:pPr>
        <w:jc w:val="left"/>
      </w:pPr>
      <w:r>
        <w:rPr>
          <w:b/>
        </w:rPr>
        <w:t>Datum:</w:t>
      </w:r>
      <w:r>
        <w:t xml:space="preserve"> 29.05.2026</w:t>
      </w:r>
    </w:p>
    <w:p>
      <w:pPr>
        <w:jc w:val="left"/>
      </w:pPr>
      <w:r>
        <w:rPr>
          <w:b/>
        </w:rPr>
        <w:t>Zweck:</w:t>
      </w:r>
      <w:r>
        <w:t xml:space="preserve"> Vorbereitung der Anhörungsantwort an FA Oranienburg vom 16.06.2026</w:t>
      </w:r>
    </w:p>
    <w:p>
      <w:pPr>
        <w:pStyle w:val="Heading2"/>
      </w:pPr>
      <w:r>
        <w:rPr>
          <w:rFonts w:ascii="Times New Roman" w:hAnsi="Times New Roman"/>
        </w:rPr>
        <w:t>Stand der Verwaltungsauffassung</w:t>
      </w:r>
    </w:p>
    <w:p>
      <w:pPr>
        <w:jc w:val="left"/>
      </w:pPr>
      <w:r>
        <w:t>Das Bundesministerium der Finanzen (BMF) gibt zu § 1 GrEStG laufend Anwendungserlasse heraus, die die Verwaltungspraxis der Länder-FÄ binden. Die einschlägige Erlasslage für unseren Sachverhalt umfasst:</w:t>
      </w:r>
    </w:p>
    <w:p>
      <w:pPr>
        <w:pStyle w:val="ListNumber"/>
      </w:pPr>
      <w:r>
        <w:rPr>
          <w:b/>
        </w:rPr>
        <w:t>Gleichlautende Erlasse der obersten Finanzbehörden der Länder</w:t>
      </w:r>
      <w:r>
        <w:t xml:space="preserve"> (sog. "koordinierter Ländererlass") zu § 1 Abs. 2a, 2b und 3 GrEStG aus der Zeit ab der GrEStG-Reform 2021 (Senkung der Schwelle von 95 % auf 90 %).</w:t>
      </w:r>
    </w:p>
    <w:p>
      <w:pPr>
        <w:pStyle w:val="ListNumber"/>
      </w:pPr>
      <w:r>
        <w:rPr>
          <w:b/>
        </w:rPr>
        <w:t>Folgeerlasse zur 90-%-Schwelle</w:t>
      </w:r>
      <w:r>
        <w:t xml:space="preserve"> mit Hinweisen zu Anwendungsbereich, Übergangsregelungen und Verhältnis der Tatbestände untereinander.</w:t>
      </w:r>
    </w:p>
    <w:p>
      <w:pPr>
        <w:jc w:val="left"/>
      </w:pPr>
      <w:r>
        <w:rPr>
          <w:b/>
        </w:rPr>
        <w:t>Wichtig:</w:t>
      </w:r>
      <w:r>
        <w:t xml:space="preserve"> Konkrete Daten und Aktenzeichen dieser Erlasse müssen vor Versand der Anhörungsantwort </w:t>
      </w:r>
      <w:r>
        <w:rPr>
          <w:b/>
        </w:rPr>
        <w:t>amtlich verifiziert</w:t>
      </w:r>
      <w:r>
        <w:t xml:space="preserve"> werden (über die Verwaltungssammlungen der Länder bzw. den BMF-Erlassspiegel). In der Mandantenkorrespondenz darf nur auf "die gleichlautenden Ländererlasse zu § 1 Abs. 2a, 2b und 3 GrEStG" generisch verwiesen werden, solange die Fundstellen nicht abschließend belegt sind.</w:t>
      </w:r>
    </w:p>
    <w:p>
      <w:pPr>
        <w:pStyle w:val="Heading2"/>
      </w:pPr>
      <w:r>
        <w:rPr>
          <w:rFonts w:ascii="Times New Roman" w:hAnsi="Times New Roman"/>
        </w:rPr>
        <w:t>Inhaltliche Hauptaussagen (aus Kanzleidatenbank, Stand 2024)</w:t>
      </w:r>
    </w:p>
    <w:p>
      <w:pPr>
        <w:jc w:val="left"/>
      </w:pPr>
      <w:r>
        <w:t>Die Verwaltungsauffassung lässt sich zu unserem Sachverhalt wie folgt zusammenfassen:</w:t>
      </w:r>
    </w:p>
    <w:p>
      <w:pPr>
        <w:pStyle w:val="Heading3"/>
      </w:pPr>
      <w:r>
        <w:rPr>
          <w:rFonts w:ascii="Times New Roman" w:hAnsi="Times New Roman"/>
        </w:rPr>
        <w:t>Zum Verhältnis § 1 Abs. 2b und § 1 Abs. 3 GrEStG</w:t>
      </w:r>
    </w:p>
    <w:p>
      <w:pPr>
        <w:pStyle w:val="ListBullet"/>
      </w:pPr>
      <w:r>
        <w:t>§ 1 Abs. 2b GrEStG knüpft an die Änderung im Gesellschafterbestand der grundbesitzhaltenden Kapitalgesellschaft an (90 %-Schwelle, Fünf-Jahres-Frist).</w:t>
      </w:r>
    </w:p>
    <w:p>
      <w:pPr>
        <w:pStyle w:val="ListBullet"/>
      </w:pPr>
      <w:r>
        <w:t>§ 1 Abs. 3 GrEStG knüpft an die Anteilsvereinigung in einer Hand an (90 %-Schwelle, ohne Frist).</w:t>
      </w:r>
    </w:p>
    <w:p>
      <w:pPr>
        <w:pStyle w:val="ListBullet"/>
      </w:pPr>
      <w:r>
        <w:t xml:space="preserve">Die Verwaltung sieht eine </w:t>
      </w:r>
      <w:r>
        <w:rPr>
          <w:b/>
        </w:rPr>
        <w:t>Subsidiarität</w:t>
      </w:r>
      <w:r>
        <w:t>: § 1 Abs. 2b geht § 1 Abs. 3 vor, soweit der Tatbestand des Abs. 2b erfüllt ist.</w:t>
      </w:r>
    </w:p>
    <w:p>
      <w:pPr>
        <w:pStyle w:val="ListBullet"/>
      </w:pPr>
      <w:r>
        <w:t>In der Praxis führt das dazu, dass typischerweise nur einer der beiden Tatbestände greift, nicht beide nebeneinander.</w:t>
      </w:r>
    </w:p>
    <w:p>
      <w:pPr>
        <w:pStyle w:val="Heading3"/>
      </w:pPr>
      <w:r>
        <w:rPr>
          <w:rFonts w:ascii="Times New Roman" w:hAnsi="Times New Roman"/>
        </w:rPr>
        <w:t>Zum Signing-Closing-Zeitablauf</w:t>
      </w:r>
    </w:p>
    <w:p>
      <w:pPr>
        <w:pStyle w:val="ListBullet"/>
      </w:pPr>
      <w:r>
        <w:t>Maßgeblich für die Steuerentstehung ist nach § 14 Nr. 2 GrEStG die Erfüllung des steuerbaren Tatbestands.</w:t>
      </w:r>
    </w:p>
    <w:p>
      <w:pPr>
        <w:pStyle w:val="ListBullet"/>
      </w:pPr>
      <w:r>
        <w:t>Bei einem aufschiebend bedingten Anteilskauf erfolgt die Steuerentstehung mit Bedingungseintritt (Closing), nicht mit Signing.</w:t>
      </w:r>
    </w:p>
    <w:p>
      <w:pPr>
        <w:pStyle w:val="ListBullet"/>
      </w:pPr>
      <w:r>
        <w:t xml:space="preserve">Verwaltungsrechtlich wurde lange Zeit umstritten, ob das Signing selbst bereits einen eigenständigen Tatbestand begründet, der bei späterem Closing zu einer </w:t>
      </w:r>
      <w:r>
        <w:rPr>
          <w:b/>
        </w:rPr>
        <w:t>Korrektur nach § 16 GrEStG</w:t>
      </w:r>
      <w:r>
        <w:t xml:space="preserve"> führt (Rückgängigmachung des Signing-Tatbestands).</w:t>
      </w:r>
    </w:p>
    <w:p>
      <w:pPr>
        <w:pStyle w:val="ListBullet"/>
      </w:pPr>
      <w:r>
        <w:t>Die jüngere Rechtsprechung des BFH (II. Senat) im Aussetzungsverfahren spricht gegen eine doppelte Festsetzung; die Verwaltungsauffassung ist im Umbruch.</w:t>
      </w:r>
    </w:p>
    <w:p>
      <w:pPr>
        <w:pStyle w:val="Heading3"/>
      </w:pPr>
      <w:r>
        <w:rPr>
          <w:rFonts w:ascii="Times New Roman" w:hAnsi="Times New Roman"/>
        </w:rPr>
        <w:t>Zur Schwelle bei Anteilsvereinigung</w:t>
      </w:r>
    </w:p>
    <w:p>
      <w:pPr>
        <w:pStyle w:val="ListBullet"/>
      </w:pPr>
      <w:r>
        <w:t>Erstmalige Vereinigung von 90 % oder mehr der Anteile in einer Hand löst § 1 Abs. 3 GrEStG aus.</w:t>
      </w:r>
    </w:p>
    <w:p>
      <w:pPr>
        <w:pStyle w:val="ListBullet"/>
      </w:pPr>
      <w:r>
        <w:t>Bei mehrstufigem Erwerb (Closing) entsteht die Schwellenüberschreitung mit der dinglichen Übertragung.</w:t>
      </w:r>
    </w:p>
    <w:p>
      <w:pPr>
        <w:pStyle w:val="ListBullet"/>
      </w:pPr>
      <w:r>
        <w:t>Konzerninterne Übertragungen können nach § 6a GrEStG begünstigt sein, was im vorliegenden Sachverhalt für die Vorab-Umstrukturierung relevant ist.</w:t>
      </w:r>
    </w:p>
    <w:p>
      <w:pPr>
        <w:pStyle w:val="Heading2"/>
      </w:pPr>
      <w:r>
        <w:rPr>
          <w:rFonts w:ascii="Times New Roman" w:hAnsi="Times New Roman"/>
        </w:rPr>
        <w:t>Argumentationslinie für unsere Anhörungsantwort</w:t>
      </w:r>
    </w:p>
    <w:p>
      <w:pPr>
        <w:jc w:val="left"/>
      </w:pPr>
      <w:r>
        <w:t>Wir argumentieren gegenüber dem FA Oranienburg in drei Schritten:</w:t>
      </w:r>
    </w:p>
    <w:p>
      <w:pPr>
        <w:pStyle w:val="Heading3"/>
      </w:pPr>
      <w:r>
        <w:rPr>
          <w:rFonts w:ascii="Times New Roman" w:hAnsi="Times New Roman"/>
        </w:rPr>
        <w:t>Schritt 1 -- Subsidiarität § 1 Abs. 2b vor § 1 Abs. 3</w:t>
      </w:r>
    </w:p>
    <w:p>
      <w:pPr>
        <w:jc w:val="left"/>
      </w:pPr>
      <w:r>
        <w:t xml:space="preserve">Wenn die Verwaltung selbst von einer Subsidiarität ausgeht, kann sie nicht gleichzeitig § 1 Abs. 2b </w:t>
      </w:r>
      <w:r>
        <w:rPr>
          <w:b/>
        </w:rPr>
        <w:t>und</w:t>
      </w:r>
      <w:r>
        <w:t xml:space="preserve"> § 1 Abs. 3 festsetzen. Hier ist der vorrangige Tatbestand (§ 1 Abs. 2b -- Änderung Gesellschafterbestand) erfüllt; die § 1 Abs. 3-Festsetzung muss daher entfallen.</w:t>
      </w:r>
    </w:p>
    <w:p>
      <w:pPr>
        <w:jc w:val="left"/>
      </w:pPr>
      <w:r>
        <w:t>Argument:</w:t>
      </w:r>
    </w:p>
    <w:p>
      <w:pPr>
        <w:ind w:left="567"/>
      </w:pPr>
      <w:r>
        <w:rPr>
          <w:i/>
        </w:rPr>
        <w:t>Nach gefestigter Verwaltungsauffassung in den gleichlautenden Erlassen der Länder zu § 1 GrEStG hat § 1 Abs. 2b GrEStG Vorrang vor § 1 Abs. 3 GrEStG, soweit der dortige Tatbestand erfüllt ist. Vorliegend ist der Tatbestand des § 1 Abs. 2b GrEStG durch den 100-prozentigen Wechsel der Gesellschafter der Waldkrone Logistik GmbH zum 30.04.2026 erfüllt. Eine zusätzliche Festsetzung nach § 1 Abs. 3 GrEStG gegenüber der SHC Germany HoldCo GmbH ist daher verwaltungsrechtlich ausgeschlossen.</w:t>
      </w:r>
    </w:p>
    <w:p>
      <w:pPr>
        <w:pStyle w:val="Heading3"/>
      </w:pPr>
      <w:r>
        <w:rPr>
          <w:rFonts w:ascii="Times New Roman" w:hAnsi="Times New Roman"/>
        </w:rPr>
        <w:t>Schritt 2 -- Einheitlicher Erwerbsvorgang</w:t>
      </w:r>
    </w:p>
    <w:p>
      <w:pPr>
        <w:jc w:val="left"/>
      </w:pPr>
      <w:r>
        <w:t xml:space="preserve">Hilfsweise: Wenn die Verwaltung nicht der Subsidiarität folgt, bestehen jedenfalls </w:t>
      </w:r>
      <w:r>
        <w:rPr>
          <w:b/>
        </w:rPr>
        <w:t>ernstliche Zweifel</w:t>
      </w:r>
      <w:r>
        <w:t xml:space="preserve"> an der Rechtmäßigkeit der doppelten Festsetzung, die eine Aussetzung der Vollziehung gegen die zweite Festsetzung rechtfertigen.</w:t>
      </w:r>
    </w:p>
    <w:p>
      <w:pPr>
        <w:jc w:val="left"/>
      </w:pPr>
      <w:r>
        <w:t>Argument:</w:t>
      </w:r>
    </w:p>
    <w:p>
      <w:pPr>
        <w:ind w:left="567"/>
      </w:pPr>
      <w:r>
        <w:rPr>
          <w:i/>
        </w:rPr>
        <w:t>Sollte die Behörde gleichwohl beide Festsetzungen aufrechterhalten, beantragen wir Aussetzung der Vollziehung gegen die zusätzliche Festsetzung. Nach jüngeren Beschlüssen des Bundesfinanzhofs im Aussetzungsverfahren bestehen ernstliche Zweifel an der Rechtmäßigkeit einer doppelten Festsetzung bei zeitlich auseinanderfallendem Signing und Closing.</w:t>
      </w:r>
    </w:p>
    <w:p>
      <w:pPr>
        <w:pStyle w:val="Heading3"/>
      </w:pPr>
      <w:r>
        <w:rPr>
          <w:rFonts w:ascii="Times New Roman" w:hAnsi="Times New Roman"/>
        </w:rPr>
        <w:t>Schritt 3 -- § 16 GrEStG Korrekturroute</w:t>
      </w:r>
    </w:p>
    <w:p>
      <w:pPr>
        <w:jc w:val="left"/>
      </w:pPr>
      <w:r>
        <w:t>Subsidiär: Falls beide Festsetzungen tatsächlich ergehen und nicht ausgesetzt werden, kann die zusätzliche Festsetzung durch Antrag nach § 16 GrEStG rückgängig gemacht werden, sobald der Closing-Tatbestand abgewickelt ist.</w:t>
      </w:r>
    </w:p>
    <w:p>
      <w:pPr>
        <w:jc w:val="left"/>
      </w:pPr>
      <w:r>
        <w:t>Argument:</w:t>
      </w:r>
    </w:p>
    <w:p>
      <w:pPr>
        <w:ind w:left="567"/>
      </w:pPr>
      <w:r>
        <w:rPr>
          <w:i/>
        </w:rPr>
        <w:t>Subsidiär verweisen wir auf § 16 GrEStG, der für die Rückgängigmachung steuerbarer Vorgänge eine eigene Korrekturroute vorsieht. Bei einer mehrfachen Belastung desselben wirtschaftlichen Erwerbsvorgangs durch unterschiedliche Tatbestände ist § 16 GrEStG analog anwendbar und ermöglicht eine Aufhebung der überschießenden Festsetzung.</w:t>
      </w:r>
    </w:p>
    <w:p>
      <w:pPr>
        <w:pStyle w:val="Heading2"/>
      </w:pPr>
      <w:r>
        <w:rPr>
          <w:rFonts w:ascii="Times New Roman" w:hAnsi="Times New Roman"/>
        </w:rPr>
        <w:t>Aufbau der Anhörungsantwort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Abschnitt</w:t>
            </w:r>
          </w:p>
        </w:tc>
        <w:tc>
          <w:tcPr>
            <w:tcW w:type="dxa" w:w="3024"/>
          </w:tcPr>
          <w:p>
            <w:r>
              <w:rPr>
                <w:rFonts w:ascii="Times New Roman" w:hAnsi="Times New Roman"/>
                <w:b/>
                <w:sz w:val="20"/>
              </w:rPr>
              <w:t>Inhalt</w:t>
            </w:r>
          </w:p>
        </w:tc>
        <w:tc>
          <w:tcPr>
            <w:tcW w:type="dxa" w:w="3024"/>
          </w:tcPr>
          <w:p>
            <w:r>
              <w:rPr>
                <w:rFonts w:ascii="Times New Roman" w:hAnsi="Times New Roman"/>
                <w:b/>
                <w:sz w:val="20"/>
              </w:rPr>
              <w:t>Länge geplant</w:t>
            </w:r>
          </w:p>
        </w:tc>
      </w:tr>
      <w:tr>
        <w:tc>
          <w:tcPr>
            <w:tcW w:type="dxa" w:w="3024"/>
          </w:tcPr>
          <w:p>
            <w:r>
              <w:rPr>
                <w:rFonts w:ascii="Times New Roman" w:hAnsi="Times New Roman"/>
                <w:sz w:val="20"/>
              </w:rPr>
              <w:t>I. Vorbemerkung</w:t>
            </w:r>
          </w:p>
        </w:tc>
        <w:tc>
          <w:tcPr>
            <w:tcW w:type="dxa" w:w="3024"/>
          </w:tcPr>
          <w:p>
            <w:r>
              <w:rPr>
                <w:rFonts w:ascii="Times New Roman" w:hAnsi="Times New Roman"/>
                <w:sz w:val="20"/>
              </w:rPr>
              <w:t>knappe Skizze des Sachverhalts und der Verfahrenslage</w:t>
            </w:r>
          </w:p>
        </w:tc>
        <w:tc>
          <w:tcPr>
            <w:tcW w:type="dxa" w:w="3024"/>
          </w:tcPr>
          <w:p>
            <w:r>
              <w:rPr>
                <w:rFonts w:ascii="Times New Roman" w:hAnsi="Times New Roman"/>
                <w:sz w:val="20"/>
              </w:rPr>
              <w:t>0,5 Seiten</w:t>
            </w:r>
          </w:p>
        </w:tc>
      </w:tr>
      <w:tr>
        <w:tc>
          <w:tcPr>
            <w:tcW w:type="dxa" w:w="3024"/>
          </w:tcPr>
          <w:p>
            <w:r>
              <w:rPr>
                <w:rFonts w:ascii="Times New Roman" w:hAnsi="Times New Roman"/>
                <w:sz w:val="20"/>
              </w:rPr>
              <w:t>II. Anerkennung dem Grunde nach</w:t>
            </w:r>
          </w:p>
        </w:tc>
        <w:tc>
          <w:tcPr>
            <w:tcW w:type="dxa" w:w="3024"/>
          </w:tcPr>
          <w:p>
            <w:r>
              <w:rPr>
                <w:rFonts w:ascii="Times New Roman" w:hAnsi="Times New Roman"/>
                <w:sz w:val="20"/>
              </w:rPr>
              <w:t>dass GrESt aus dem Closing dem Grunde nach ausgelöst ist</w:t>
            </w:r>
          </w:p>
        </w:tc>
        <w:tc>
          <w:tcPr>
            <w:tcW w:type="dxa" w:w="3024"/>
          </w:tcPr>
          <w:p>
            <w:r>
              <w:rPr>
                <w:rFonts w:ascii="Times New Roman" w:hAnsi="Times New Roman"/>
                <w:sz w:val="20"/>
              </w:rPr>
              <w:t>0,5 Seiten</w:t>
            </w:r>
          </w:p>
        </w:tc>
      </w:tr>
      <w:tr>
        <w:tc>
          <w:tcPr>
            <w:tcW w:type="dxa" w:w="3024"/>
          </w:tcPr>
          <w:p>
            <w:r>
              <w:rPr>
                <w:rFonts w:ascii="Times New Roman" w:hAnsi="Times New Roman"/>
                <w:sz w:val="20"/>
              </w:rPr>
              <w:t>III. Hauptargument</w:t>
            </w:r>
          </w:p>
        </w:tc>
        <w:tc>
          <w:tcPr>
            <w:tcW w:type="dxa" w:w="3024"/>
          </w:tcPr>
          <w:p>
            <w:r>
              <w:rPr>
                <w:rFonts w:ascii="Times New Roman" w:hAnsi="Times New Roman"/>
                <w:sz w:val="20"/>
              </w:rPr>
              <w:t>Subsidiarität § 1 Abs. 2b vor Abs. 3</w:t>
            </w:r>
          </w:p>
        </w:tc>
        <w:tc>
          <w:tcPr>
            <w:tcW w:type="dxa" w:w="3024"/>
          </w:tcPr>
          <w:p>
            <w:r>
              <w:rPr>
                <w:rFonts w:ascii="Times New Roman" w:hAnsi="Times New Roman"/>
                <w:sz w:val="20"/>
              </w:rPr>
              <w:t>1 -- 1,5 Seiten</w:t>
            </w:r>
          </w:p>
        </w:tc>
      </w:tr>
      <w:tr>
        <w:tc>
          <w:tcPr>
            <w:tcW w:type="dxa" w:w="3024"/>
          </w:tcPr>
          <w:p>
            <w:r>
              <w:rPr>
                <w:rFonts w:ascii="Times New Roman" w:hAnsi="Times New Roman"/>
                <w:sz w:val="20"/>
              </w:rPr>
              <w:t>IV. Hilfsargument</w:t>
            </w:r>
          </w:p>
        </w:tc>
        <w:tc>
          <w:tcPr>
            <w:tcW w:type="dxa" w:w="3024"/>
          </w:tcPr>
          <w:p>
            <w:r>
              <w:rPr>
                <w:rFonts w:ascii="Times New Roman" w:hAnsi="Times New Roman"/>
                <w:sz w:val="20"/>
              </w:rPr>
              <w:t>ernstliche Zweifel BFH-AdV-Linie</w:t>
            </w:r>
          </w:p>
        </w:tc>
        <w:tc>
          <w:tcPr>
            <w:tcW w:type="dxa" w:w="3024"/>
          </w:tcPr>
          <w:p>
            <w:r>
              <w:rPr>
                <w:rFonts w:ascii="Times New Roman" w:hAnsi="Times New Roman"/>
                <w:sz w:val="20"/>
              </w:rPr>
              <w:t>1 Seite</w:t>
            </w:r>
          </w:p>
        </w:tc>
      </w:tr>
      <w:tr>
        <w:tc>
          <w:tcPr>
            <w:tcW w:type="dxa" w:w="3024"/>
          </w:tcPr>
          <w:p>
            <w:r>
              <w:rPr>
                <w:rFonts w:ascii="Times New Roman" w:hAnsi="Times New Roman"/>
                <w:sz w:val="20"/>
              </w:rPr>
              <w:t>V. Subsidiäres Argument</w:t>
            </w:r>
          </w:p>
        </w:tc>
        <w:tc>
          <w:tcPr>
            <w:tcW w:type="dxa" w:w="3024"/>
          </w:tcPr>
          <w:p>
            <w:r>
              <w:rPr>
                <w:rFonts w:ascii="Times New Roman" w:hAnsi="Times New Roman"/>
                <w:sz w:val="20"/>
              </w:rPr>
              <w:t>§ 16 GrEStG Korrektur</w:t>
            </w:r>
          </w:p>
        </w:tc>
        <w:tc>
          <w:tcPr>
            <w:tcW w:type="dxa" w:w="3024"/>
          </w:tcPr>
          <w:p>
            <w:r>
              <w:rPr>
                <w:rFonts w:ascii="Times New Roman" w:hAnsi="Times New Roman"/>
                <w:sz w:val="20"/>
              </w:rPr>
              <w:t>0,5 Seiten</w:t>
            </w:r>
          </w:p>
        </w:tc>
      </w:tr>
      <w:tr>
        <w:tc>
          <w:tcPr>
            <w:tcW w:type="dxa" w:w="3024"/>
          </w:tcPr>
          <w:p>
            <w:r>
              <w:rPr>
                <w:rFonts w:ascii="Times New Roman" w:hAnsi="Times New Roman"/>
                <w:sz w:val="20"/>
              </w:rPr>
              <w:t>VI. Verfahrensanträge</w:t>
            </w:r>
          </w:p>
        </w:tc>
        <w:tc>
          <w:tcPr>
            <w:tcW w:type="dxa" w:w="3024"/>
          </w:tcPr>
          <w:p>
            <w:r>
              <w:rPr>
                <w:rFonts w:ascii="Times New Roman" w:hAnsi="Times New Roman"/>
                <w:sz w:val="20"/>
              </w:rPr>
              <w:t>Antrag auf Anhörung, Vorlage der Bewertungsgrundlagen, Akteneinsicht</w:t>
            </w:r>
          </w:p>
        </w:tc>
        <w:tc>
          <w:tcPr>
            <w:tcW w:type="dxa" w:w="3024"/>
          </w:tcPr>
          <w:p>
            <w:r>
              <w:rPr>
                <w:rFonts w:ascii="Times New Roman" w:hAnsi="Times New Roman"/>
                <w:sz w:val="20"/>
              </w:rPr>
              <w:t>0,5 Seiten</w:t>
            </w:r>
          </w:p>
        </w:tc>
      </w:tr>
      <w:tr>
        <w:tc>
          <w:tcPr>
            <w:tcW w:type="dxa" w:w="3024"/>
          </w:tcPr>
          <w:p>
            <w:r>
              <w:rPr>
                <w:rFonts w:ascii="Times New Roman" w:hAnsi="Times New Roman"/>
                <w:sz w:val="20"/>
              </w:rPr>
              <w:t>VII. Anlagen</w:t>
            </w:r>
          </w:p>
        </w:tc>
        <w:tc>
          <w:tcPr>
            <w:tcW w:type="dxa" w:w="3024"/>
          </w:tcPr>
          <w:p>
            <w:r>
              <w:rPr>
                <w:rFonts w:ascii="Times New Roman" w:hAnsi="Times New Roman"/>
                <w:sz w:val="20"/>
              </w:rPr>
              <w:t>--</w:t>
            </w:r>
          </w:p>
        </w:tc>
        <w:tc>
          <w:tcPr>
            <w:tcW w:type="dxa" w:w="3024"/>
          </w:tcPr>
          <w:p>
            <w:r>
              <w:rPr>
                <w:rFonts w:ascii="Times New Roman" w:hAnsi="Times New Roman"/>
                <w:sz w:val="20"/>
              </w:rPr>
              <w:t>--</w:t>
            </w:r>
          </w:p>
        </w:tc>
      </w:tr>
    </w:tbl>
    <w:p>
      <w:pPr>
        <w:jc w:val="left"/>
      </w:pPr>
      <w:r>
        <w:t>Geplante Gesamtlänge: 4 -- 5 Seiten plus Anlagen.</w:t>
      </w:r>
    </w:p>
    <w:p>
      <w:pPr>
        <w:pStyle w:val="Heading2"/>
      </w:pPr>
      <w:r>
        <w:rPr>
          <w:rFonts w:ascii="Times New Roman" w:hAnsi="Times New Roman"/>
        </w:rPr>
        <w:t>Verifikationsaufgaben vor Versand</w:t>
      </w:r>
    </w:p>
    <w:p>
      <w:pPr>
        <w:pStyle w:val="ListNumber"/>
      </w:pPr>
      <w:r>
        <w:rPr>
          <w:b/>
        </w:rPr>
        <w:t>BMF-Erlassspiegel:</w:t>
      </w:r>
      <w:r>
        <w:t xml:space="preserve"> Konkrete Fundstellen der gleichlautenden Ländererlasse zu § 1 Abs. 2b und Abs. 3 GrEStG mit Datum und Aktenzeichen identifizieren.</w:t>
      </w:r>
    </w:p>
    <w:p>
      <w:pPr>
        <w:pStyle w:val="ListNumber"/>
      </w:pPr>
      <w:r>
        <w:rPr>
          <w:b/>
        </w:rPr>
        <w:t>BFH-AdV-Linie:</w:t>
      </w:r>
      <w:r>
        <w:t xml:space="preserve"> Die einschlägigen II. Senat AdV-Beschlüsse mit Aktenzeichen, Datum und Fundstelle (BFH/NV, BStBl II) identifizieren.</w:t>
      </w:r>
    </w:p>
    <w:p>
      <w:pPr>
        <w:pStyle w:val="ListNumber"/>
      </w:pPr>
      <w:r>
        <w:rPr>
          <w:b/>
        </w:rPr>
        <w:t>BFH-Vorlagebeschluss BVerfG (falls einschlägig):</w:t>
      </w:r>
      <w:r>
        <w:t xml:space="preserve"> Stand prüfen.</w:t>
      </w:r>
    </w:p>
    <w:p>
      <w:pPr>
        <w:pStyle w:val="ListNumber"/>
      </w:pPr>
      <w:r>
        <w:rPr>
          <w:b/>
        </w:rPr>
        <w:t>Verifikation durch zweite Anwältin:</w:t>
      </w:r>
      <w:r>
        <w:t xml:space="preserve"> Susanne Petrich -- final review durch Dr. Holzschuh.</w:t>
      </w:r>
    </w:p>
    <w:p>
      <w:pPr>
        <w:pStyle w:val="Heading2"/>
      </w:pPr>
      <w:r>
        <w:rPr>
          <w:rFonts w:ascii="Times New Roman" w:hAnsi="Times New Roman"/>
        </w:rPr>
        <w:t>Risiko bei generischer Argumentation</w:t>
      </w:r>
    </w:p>
    <w:p>
      <w:pPr>
        <w:jc w:val="left"/>
      </w:pPr>
      <w:r>
        <w:t>Wenn wir nur generisch "BFH-Rechtsprechung" und "Verwaltungsauffassung" zitieren, ohne konkrete Fundstellen, ist die Anhörungsantwort verwaltungsrechtlich schwächer. Das FA Oranienburg könnte die Anhörungsantwort als nicht hinreichend substantiiert ablehnen und auf Festsetzung gemäß ursprünglicher Linie bestehen.</w:t>
      </w:r>
    </w:p>
    <w:p>
      <w:pPr>
        <w:jc w:val="left"/>
      </w:pPr>
      <w:r>
        <w:rPr>
          <w:b/>
        </w:rPr>
        <w:t>Empfehlung:</w:t>
      </w:r>
      <w:r>
        <w:t xml:space="preserve"> Anhörungsantwort erst nach abschließender Verifikation der Fundstellen versenden. Falls die Verifikation bis 12.06.2026 nicht abgeschlossen ist, einen 7-Tage-Fristverlängerungsantrag stellen (§ 91 AO oder allgemeine Anhörungsfrist; FA hat in der Vergangenheit kurze Verlängerungen großzügig gewährt).</w:t>
      </w:r>
    </w:p>
    <w:p>
      <w:pPr>
        <w:pStyle w:val="Heading2"/>
      </w:pPr>
      <w:r>
        <w:rPr>
          <w:rFonts w:ascii="Times New Roman" w:hAnsi="Times New Roman"/>
        </w:rPr>
        <w:t>Hinweis Mandantin</w:t>
      </w:r>
    </w:p>
    <w:p>
      <w:pPr>
        <w:jc w:val="left"/>
      </w:pPr>
      <w:r>
        <w:t>Die Mandantin (Killeen / Brennan) ist davon zu unterrichten, dass die jetzige Argumentationslinie auf zwei Annahmen beruht:</w:t>
      </w:r>
    </w:p>
    <w:p>
      <w:pPr>
        <w:pStyle w:val="ListNumber"/>
      </w:pPr>
      <w:r>
        <w:t>Verwaltung folgt ihrer eigenen Subsidiaritätslinie (Hauptargument).</w:t>
      </w:r>
    </w:p>
    <w:p>
      <w:pPr>
        <w:pStyle w:val="ListNumber"/>
      </w:pPr>
      <w:r>
        <w:t>BFH-AdV-Linie bleibt im Aussetzungsverfahren wirksam (Hilfsargument).</w:t>
      </w:r>
    </w:p>
    <w:p>
      <w:pPr>
        <w:jc w:val="left"/>
      </w:pPr>
      <w:r>
        <w:t>Beide Annahmen sind belastbar, aber nicht risikolos. Im Hauptsacheverfahren könnte das FG anders entscheiden. Die Verteidigungslinie ist somit "wahrscheinlich erfolgreich im Aussetzungsverfahren, offen im Hauptsacheverfahren".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