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Kurznotiz: niedrigerer gemeiner Wert</w:t>
      </w:r>
    </w:p>
    <w:p>
      <w:pPr>
        <w:jc w:val="left"/>
      </w:pPr>
      <w:r>
        <w:rPr>
          <w:b/>
        </w:rPr>
        <w:t>Bearbeitung:</w:t>
      </w:r>
      <w:r>
        <w:t xml:space="preserve"> Lukas Hartmann, Steuerassistent</w:t>
      </w:r>
    </w:p>
    <w:p>
      <w:pPr>
        <w:jc w:val="left"/>
      </w:pPr>
      <w:r>
        <w:rPr>
          <w:b/>
        </w:rPr>
        <w:t>Mit-Bearbeitung:</w:t>
      </w:r>
      <w:r>
        <w:t xml:space="preserve"> RAin Brigitte Hauschulz-Müller</w:t>
      </w:r>
    </w:p>
    <w:p>
      <w:pPr>
        <w:jc w:val="left"/>
      </w:pPr>
      <w:r>
        <w:rPr>
          <w:b/>
        </w:rPr>
        <w:t>Datum:</w:t>
      </w:r>
      <w:r>
        <w:t xml:space="preserve"> 22.05.2026</w:t>
      </w:r>
    </w:p>
    <w:p>
      <w:pPr>
        <w:jc w:val="left"/>
      </w:pPr>
      <w:r>
        <w:rPr>
          <w:b/>
        </w:rPr>
        <w:t>Aktenzeichen Kanzlei:</w:t>
      </w:r>
      <w:r>
        <w:t xml:space="preserve"> KGK 2026-118 / Rosenwinkel</w:t>
      </w:r>
    </w:p>
    <w:p>
      <w:pPr>
        <w:jc w:val="left"/>
      </w:pPr>
      <w:r>
        <w:rPr>
          <w:b/>
        </w:rPr>
        <w:t>Zweck:</w:t>
      </w:r>
      <w:r>
        <w:t xml:space="preserve"> Belegstrategie für niedrigeren gemeinen Wert nach § 220 BewG bzw. § 198 BewG analog</w:t>
      </w:r>
    </w:p>
    <w:p>
      <w:pPr>
        <w:pStyle w:val="Heading2"/>
      </w:pPr>
      <w:r>
        <w:rPr>
          <w:rFonts w:ascii="Times New Roman" w:hAnsi="Times New Roman"/>
        </w:rPr>
        <w:t>Ausgangspunkt</w:t>
      </w:r>
    </w:p>
    <w:p>
      <w:pPr>
        <w:jc w:val="left"/>
      </w:pPr>
      <w:r>
        <w:t xml:space="preserve">Der festgestellte </w:t>
      </w:r>
      <w:r>
        <w:rPr>
          <w:b/>
        </w:rPr>
        <w:t>Grundsteuerwert</w:t>
      </w:r>
      <w:r>
        <w:t xml:space="preserve"> beträgt </w:t>
      </w:r>
      <w:r>
        <w:rPr>
          <w:b/>
        </w:rPr>
        <w:t>3.284.000 EUR</w:t>
      </w:r>
      <w:r>
        <w:t xml:space="preserve"> (Bescheid FA Trier vom 22.08.2024, Az. 42/318/00917 GWB). Die Hausverwaltung hält einen </w:t>
      </w:r>
      <w:r>
        <w:rPr>
          <w:b/>
        </w:rPr>
        <w:t>Verkehrswert</w:t>
      </w:r>
      <w:r>
        <w:t xml:space="preserve"> von rund </w:t>
      </w:r>
      <w:r>
        <w:rPr>
          <w:b/>
        </w:rPr>
        <w:t>2.150.000 EUR bis 2.350.000 EUR</w:t>
      </w:r>
      <w:r>
        <w:t xml:space="preserve"> für realistischer.</w:t>
      </w:r>
    </w:p>
    <w:p>
      <w:pPr>
        <w:jc w:val="left"/>
      </w:pPr>
      <w:r>
        <w:t xml:space="preserve">Diese Einschätzung ist </w:t>
      </w:r>
      <w:r>
        <w:rPr>
          <w:b/>
        </w:rPr>
        <w:t>noch kein gerichtsfester Nachweis</w:t>
      </w:r>
      <w:r>
        <w:t xml:space="preserve">, aber als Einstieg in eine AdV- und Belegstrategie brauchbar. Für den </w:t>
      </w:r>
      <w:r>
        <w:rPr>
          <w:b/>
        </w:rPr>
        <w:t>endgültigen Nachweis</w:t>
      </w:r>
      <w:r>
        <w:t xml:space="preserve"> wird ein </w:t>
      </w:r>
      <w:r>
        <w:rPr>
          <w:b/>
        </w:rPr>
        <w:t>Verkehrswertgutachten</w:t>
      </w:r>
      <w:r>
        <w:t xml:space="preserve"> durch einen öffentlich bestellten und vereidigten Sachverständigen erforderlich sein (Kostenrahmen 4.500 -- 6.500 EUR, je nach Aufwand für Denkmalschutz-Würdigung).</w:t>
      </w:r>
    </w:p>
    <w:p>
      <w:pPr>
        <w:pStyle w:val="Heading2"/>
      </w:pPr>
      <w:r>
        <w:rPr>
          <w:rFonts w:ascii="Times New Roman" w:hAnsi="Times New Roman"/>
        </w:rPr>
        <w:t>Vorliegende Indizien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Indiz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Aussagekraft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Gewicht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Kaufangebot Stadtbau Invest GmbH vom 03.02.2025</w:t>
            </w:r>
            <w:r>
              <w:rPr>
                <w:rFonts w:ascii="Times New Roman" w:hAnsi="Times New Roman"/>
                <w:sz w:val="20"/>
              </w:rPr>
              <w:t xml:space="preserve"> über 2.220.000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schriftlich, aber unverbindlich; Angebot nach Besichtigung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Indikator Verkehrswert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Maklerkurzbewertung Eberwein Immobilien vom 21.04.2025</w:t>
            </w:r>
            <w:r>
              <w:rPr>
                <w:rFonts w:ascii="Times New Roman" w:hAnsi="Times New Roman"/>
                <w:sz w:val="20"/>
              </w:rPr>
              <w:t>: 2.300.000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als PDF; Bewertung ohne Innenbesichtigung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Indikator Verkehrswert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Bauschadensbericht Seitenflügel</w:t>
            </w:r>
            <w:r>
              <w:rPr>
                <w:rFonts w:ascii="Times New Roman" w:hAnsi="Times New Roman"/>
                <w:sz w:val="20"/>
              </w:rPr>
              <w:t xml:space="preserve"> (Büro Behringer-Sams, 12.02.2025)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detailliert; Kostenrahmen 380.000 -- 420.000 EUR; Brandschutz und Feuchteschaden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wertmindernd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Denkmalschutzbeschränkungen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Bescheid 11.03.1998 vorhanden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wertmindernd (Sanierungs-Mehrkosten ca. 90.000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Leerstand Ladenlokal W2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seit 09/2024 belegt durch drei fehlgeschlagene Vermietungsversuche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wertmindernd (entgangene Mieten 14.000 EUR/Jahr)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Bodenrichtwertabweichung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bisher nur Screenshot BORIS-Portal; amtliche Auskunft beantragt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wertmindernd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Bauaufsichtsschreiben</w:t>
            </w:r>
            <w:r>
              <w:rPr>
                <w:rFonts w:ascii="Times New Roman" w:hAnsi="Times New Roman"/>
                <w:sz w:val="20"/>
              </w:rPr>
              <w:t xml:space="preserve"> vom 18.07.2024 (Az. 50-BA-2024/0772)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Nutzungseinschränkung W9, W10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wertmindernd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Vergleichsobjekt Reichgasse 22</w:t>
            </w:r>
            <w:r>
              <w:rPr>
                <w:rFonts w:ascii="Times New Roman" w:hAnsi="Times New Roman"/>
                <w:sz w:val="20"/>
              </w:rPr>
              <w:t xml:space="preserve"> (300 m entfernt, ähnliches Eckgebäude)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verkauft 11/2024 für 2.140.000 EUR bei 1.090 qm Grundstück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Vergleichswert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Empfohlene Belegtreppe</w:t>
      </w:r>
    </w:p>
    <w:p>
      <w:pPr>
        <w:pStyle w:val="ListNumber"/>
      </w:pPr>
      <w:r>
        <w:rPr>
          <w:b/>
        </w:rPr>
        <w:t>Amtliche Bodenrichtwertauskunft</w:t>
      </w:r>
      <w:r>
        <w:t xml:space="preserve"> zum Stichtag 01.01.2022 beim Gutachterausschuss Trier beschaffen (Kosten 35 EUR + 12 EUR Schreibgebühr; Bearbeitungszeit 7 -- 14 Tage). Antrag muss bis 26.05.2026 raus, damit Auskunft vor Eigentümerversammlung 04.06. vorliegt.</w:t>
      </w:r>
    </w:p>
    <w:p>
      <w:pPr>
        <w:pStyle w:val="ListNumber"/>
      </w:pPr>
      <w:r>
        <w:rPr>
          <w:b/>
        </w:rPr>
        <w:t>Architektin Wiegand</w:t>
      </w:r>
      <w:r>
        <w:t xml:space="preserve"> um aktualisierte Flächenbestätigung bitten (besonders Hinterhaus, DG, Seitenflügel). Honorar ca. 800 -- 1.200 EUR netto. Bestellung soll bis 27.05.2026 erfolgen.</w:t>
      </w:r>
    </w:p>
    <w:p>
      <w:pPr>
        <w:pStyle w:val="ListNumber"/>
      </w:pPr>
      <w:r>
        <w:rPr>
          <w:b/>
        </w:rPr>
        <w:t>Bauschadensbericht</w:t>
      </w:r>
      <w:r>
        <w:t xml:space="preserve"> Behringer-Sams (12.02.2025) zusammen mit Fotos und Kostenschätzung in einer einheitlichen PDF aufbereiten; ergänzen um zwei Lichtbilder vom Innenraum Hinterhaus (zur Belegung "keine Wohnerschließung").</w:t>
      </w:r>
    </w:p>
    <w:p>
      <w:pPr>
        <w:pStyle w:val="ListNumber"/>
      </w:pPr>
      <w:r>
        <w:rPr>
          <w:b/>
        </w:rPr>
        <w:t>Vergleichswert Reichgasse 22</w:t>
      </w:r>
      <w:r>
        <w:t xml:space="preserve"> vom Gutachterausschuss als anonymisierter Vergleichswert anfordern (ist im amtlichen Vergleichswert-Pool, Kosten 25 EUR).</w:t>
      </w:r>
    </w:p>
    <w:p>
      <w:pPr>
        <w:pStyle w:val="ListNumber"/>
      </w:pPr>
      <w:r>
        <w:rPr>
          <w:b/>
        </w:rPr>
        <w:t>Erst dann entscheiden</w:t>
      </w:r>
      <w:r>
        <w:t>, ob ein vollwertiges Verkehrswertgutachten beauftragt wird. Empfehlung: Gutachten beauftragen, wenn die ersten vier Schritte eine deutliche Abweichung belegen.</w:t>
      </w:r>
    </w:p>
    <w:p>
      <w:pPr>
        <w:pStyle w:val="Heading2"/>
      </w:pPr>
      <w:r>
        <w:rPr>
          <w:rFonts w:ascii="Times New Roman" w:hAnsi="Times New Roman"/>
        </w:rPr>
        <w:t>Rechtliche Einordnung für den Entwurf</w:t>
      </w:r>
    </w:p>
    <w:p>
      <w:pPr>
        <w:jc w:val="left"/>
      </w:pPr>
      <w:r>
        <w:t xml:space="preserve">Nach der </w:t>
      </w:r>
      <w:r>
        <w:rPr>
          <w:b/>
        </w:rPr>
        <w:t>BFH-AdV-Linie</w:t>
      </w:r>
      <w:r>
        <w:t xml:space="preserve"> (jüngere II. Senat-Beschlüsse 2024/2025; konkrete Aktenzeichen sind vor Versand der Einspruchsbegründung amtlich zu verifizieren) kann ein </w:t>
      </w:r>
      <w:r>
        <w:rPr>
          <w:b/>
        </w:rPr>
        <w:t>niedrigerer gemeiner Wert</w:t>
      </w:r>
      <w:r>
        <w:t xml:space="preserve"> in der Grundsteuerwertfeststellung erheblich werden, wenn die Abweichung </w:t>
      </w:r>
      <w:r>
        <w:rPr>
          <w:b/>
        </w:rPr>
        <w:t>plausibel und objektbezogen belegt</w:t>
      </w:r>
      <w:r>
        <w:t xml:space="preserve"> wird.</w:t>
      </w:r>
    </w:p>
    <w:p>
      <w:pPr>
        <w:jc w:val="left"/>
      </w:pPr>
      <w:r>
        <w:t>Die Linie ist (sinngemäß):</w:t>
      </w:r>
    </w:p>
    <w:p>
      <w:pPr>
        <w:pStyle w:val="ListBullet"/>
      </w:pPr>
      <w:r>
        <w:t>Wer einen niedrigeren gemeinen Wert als den vom FA festgestellten Wert geltend macht, muss die Abweichung plausibel darlegen.</w:t>
      </w:r>
    </w:p>
    <w:p>
      <w:pPr>
        <w:pStyle w:val="ListBullet"/>
      </w:pPr>
      <w:r>
        <w:t>Bloße Bestreitens-Behauptung ohne Belege reicht nicht.</w:t>
      </w:r>
    </w:p>
    <w:p>
      <w:pPr>
        <w:pStyle w:val="ListBullet"/>
      </w:pPr>
      <w:r>
        <w:t>Eine deutliche Abweichung (Erfahrungswert: 30 % oder mehr) ist ein Indiz für ernstliche Zweifel an der Bewertung -- ohne dass damit das Hauptsacheverfahren entschieden wäre.</w:t>
      </w:r>
    </w:p>
    <w:p>
      <w:pPr>
        <w:jc w:val="left"/>
      </w:pPr>
      <w:r>
        <w:rPr>
          <w:b/>
        </w:rPr>
        <w:t>Hier:</w:t>
      </w:r>
      <w:r>
        <w:t xml:space="preserve"> Grundsteuerwert 3.284.000 EUR vs. geschätzter Verkehrswert 2.150.000 -- 2.350.000 EUR entspricht einer Abweichung von rund </w:t>
      </w:r>
      <w:r>
        <w:rPr>
          <w:b/>
        </w:rPr>
        <w:t>28 -- 35 %</w:t>
      </w:r>
      <w:r>
        <w:t>. Das ist im Grenzbereich der BFH-Linie und mit den oben genannten Belegen plausibilisierbar.</w:t>
      </w:r>
    </w:p>
    <w:p>
      <w:pPr>
        <w:pStyle w:val="Heading2"/>
      </w:pPr>
      <w:r>
        <w:rPr>
          <w:rFonts w:ascii="Times New Roman" w:hAnsi="Times New Roman"/>
        </w:rPr>
        <w:t>Rechnerische Plausibilisierung Grundsteuerwert vs. gemeiner Wert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Festgestellter Grundsteuerwert (FA Trier 22.08.2024)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3.284.000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Maximaler Verkehrswert nach Hausverwaltungsschätzung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2.350.000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Minimaler Verkehrswert nach Hausverwaltungsschätzung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Mittlerer Verkehrswert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2.250.000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Abweichung absolut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-1.034.000 (zur Mitte)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Abweichung relativ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-31,5 %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Wirkung auf Grundsteuer bei Anerkennung des niedrigeren gemeinen Werts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Grundsteuerwert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Messbetrag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Jahresbetrag GrSt (Hebesatz 550 %)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Status quo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3.284.000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3.542,98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19.486,39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Reduktion auf gemeinen Wert (Mitte 2.250.000)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2.430,00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13.365,00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Reduktion auf unteren Verkehrswert (2.150.000)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2.322,00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12.771,00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Reduktion auf oberen Verkehrswert (2.350.000)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2.350.000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2.538,00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13.959,00</w:t>
            </w:r>
          </w:p>
        </w:tc>
      </w:tr>
    </w:tbl>
    <w:p>
      <w:pPr>
        <w:jc w:val="left"/>
      </w:pPr>
      <w:r>
        <w:rPr>
          <w:b/>
        </w:rPr>
        <w:t>Ersparnis</w:t>
      </w:r>
      <w:r>
        <w:t xml:space="preserve"> bei mittlerem Verkehrswert ca. </w:t>
      </w:r>
      <w:r>
        <w:rPr>
          <w:b/>
        </w:rPr>
        <w:t>6.120 EUR p. a.</w:t>
      </w:r>
      <w:r>
        <w:t xml:space="preserve"> -- über 10 Jahre rund 61.000 EUR. Das rechtfertigt die Gutachten- und Verfahrenskosten klar.</w:t>
      </w:r>
    </w:p>
    <w:p>
      <w:pPr>
        <w:pStyle w:val="Heading2"/>
      </w:pPr>
      <w:r>
        <w:rPr>
          <w:rFonts w:ascii="Times New Roman" w:hAnsi="Times New Roman"/>
        </w:rPr>
        <w:t>Strategische Überlegung</w:t>
      </w:r>
    </w:p>
    <w:p>
      <w:pPr>
        <w:jc w:val="left"/>
      </w:pPr>
      <w:r>
        <w:t xml:space="preserve">Die Akte sollte deshalb </w:t>
      </w:r>
      <w:r>
        <w:rPr>
          <w:b/>
        </w:rPr>
        <w:t>nicht nur Verfassungsrügen sammeln</w:t>
      </w:r>
      <w:r>
        <w:t xml:space="preserve"> ("Grundsteuer verfassungswidrig"), sondern die </w:t>
      </w:r>
      <w:r>
        <w:rPr>
          <w:b/>
        </w:rPr>
        <w:t>konkrete Überbewertung</w:t>
      </w:r>
      <w:r>
        <w:t xml:space="preserve"> zeigen. Das hat zwei Vorteile:</w:t>
      </w:r>
    </w:p>
    <w:p>
      <w:pPr>
        <w:pStyle w:val="ListNumber"/>
      </w:pPr>
      <w:r>
        <w:rPr>
          <w:b/>
        </w:rPr>
        <w:t>AdV-Erfolgsaussichten</w:t>
      </w:r>
      <w:r>
        <w:t xml:space="preserve"> sind höher, wenn ernstliche Zweifel an der </w:t>
      </w:r>
      <w:r>
        <w:rPr>
          <w:b/>
        </w:rPr>
        <w:t>konkreten</w:t>
      </w:r>
      <w:r>
        <w:t xml:space="preserve"> Feststellung dargelegt sind.</w:t>
      </w:r>
    </w:p>
    <w:p>
      <w:pPr>
        <w:pStyle w:val="ListNumber"/>
      </w:pPr>
      <w:r>
        <w:rPr>
          <w:b/>
        </w:rPr>
        <w:t>Hauptsacheverfahren</w:t>
      </w:r>
      <w:r>
        <w:t>: Auch wenn das BVerfG die Grundsteuerreform 2022 in ihrer Gesamtheit nicht aufhebt, bleibt der konkrete Fehler in der konkreten Bewertung angreifbar.</w:t>
      </w:r>
    </w:p>
    <w:p>
      <w:pPr>
        <w:pStyle w:val="Heading2"/>
      </w:pPr>
      <w:r>
        <w:rPr>
          <w:rFonts w:ascii="Times New Roman" w:hAnsi="Times New Roman"/>
        </w:rPr>
        <w:t>Risiken der Strategie</w:t>
      </w:r>
    </w:p>
    <w:p>
      <w:pPr>
        <w:pStyle w:val="ListBullet"/>
      </w:pPr>
      <w:r>
        <w:rPr>
          <w:b/>
        </w:rPr>
        <w:t>Verfahrensdauer</w:t>
      </w:r>
      <w:r>
        <w:t>: Ein FG-Verfahren kann 18 -- 30 Monate dauern. Die Mandantschaft muss zwischenzeitlich zahlen oder eine Sicherheitsleistung erbringen.</w:t>
      </w:r>
    </w:p>
    <w:p>
      <w:pPr>
        <w:pStyle w:val="ListBullet"/>
      </w:pPr>
      <w:r>
        <w:rPr>
          <w:b/>
        </w:rPr>
        <w:t>Sachverständigenkosten</w:t>
      </w:r>
      <w:r>
        <w:t>: Bei Beauftragung eines Gerichts-Sachverständigen können weitere 6.000 -- 12.000 EUR anfallen (typischer Rahmen).</w:t>
      </w:r>
    </w:p>
    <w:p>
      <w:pPr>
        <w:pStyle w:val="ListBullet"/>
      </w:pPr>
      <w:r>
        <w:rPr>
          <w:b/>
        </w:rPr>
        <w:t>Fehlende Frist Hauptbescheid</w:t>
      </w:r>
      <w:r>
        <w:t>: Die Einspruchsfrist gegen die FA-Bescheide ist abgelaufen (26.09.2024). Wir müssen über § 222 BewG (fehlerberichtigende Fortschreibung) gehen, was rechtlich anspruchsvoller ist als ein normaler Einspruch.</w:t>
      </w:r>
    </w:p>
    <w:p>
      <w:pPr>
        <w:pStyle w:val="Heading2"/>
      </w:pPr>
      <w:r>
        <w:rPr>
          <w:rFonts w:ascii="Times New Roman" w:hAnsi="Times New Roman"/>
        </w:rPr>
        <w:t>Vorgehensvorschlag</w:t>
      </w:r>
    </w:p>
    <w:p>
      <w:pPr>
        <w:pStyle w:val="ListNumber"/>
      </w:pPr>
      <w:r>
        <w:rPr>
          <w:b/>
        </w:rPr>
        <w:t>Sofort (bis 26.05.2026):</w:t>
      </w:r>
    </w:p>
    <w:p>
      <w:pPr>
        <w:jc w:val="left"/>
      </w:pPr>
      <w:r>
        <w:t>a) Antrag amtliche Bodenrichtwertauskunft Gutachterausschuss.</w:t>
      </w:r>
    </w:p>
    <w:p>
      <w:pPr>
        <w:jc w:val="left"/>
      </w:pPr>
      <w:r>
        <w:t>b) Bestellung Architektin Wiegand für aktualisierte Flächenbestätigung.</w:t>
      </w:r>
    </w:p>
    <w:p>
      <w:pPr>
        <w:jc w:val="left"/>
      </w:pPr>
      <w:r>
        <w:t>c) Mailadresse Bauunternehmer Hammelrath bestätigen lassen (Sanierungskostenstand 2026).</w:t>
      </w:r>
    </w:p>
    <w:p>
      <w:pPr>
        <w:pStyle w:val="ListNumber"/>
      </w:pPr>
      <w:r>
        <w:rPr>
          <w:b/>
        </w:rPr>
        <w:t>Bis 03.06.2026</w:t>
      </w:r>
      <w:r>
        <w:t xml:space="preserve"> (Vorabend Eigentümerversammlung): Erste Risikoampel mit Schätzung Erfolgsaussichten und Kosten der einzelnen Schritte für die Eigentümer.</w:t>
      </w:r>
    </w:p>
    <w:p>
      <w:pPr>
        <w:pStyle w:val="ListNumber"/>
      </w:pPr>
      <w:r>
        <w:rPr>
          <w:b/>
        </w:rPr>
        <w:t>Nach Eigentümerversammlung</w:t>
      </w:r>
      <w:r>
        <w:t xml:space="preserve"> (Beschluss vorausgesetzt): Verkehrswertgutachten beauftragen (Sachverständiger Dr. Tannenfels &amp; Partner, Trier, oder Sachverständige Dr. Ute Wellinghoff, Bonn).</w:t>
      </w:r>
    </w:p>
    <w:p>
      <w:pPr>
        <w:pStyle w:val="ListNumber"/>
      </w:pPr>
      <w:r>
        <w:rPr>
          <w:b/>
        </w:rPr>
        <w:t>Bis 15.06.2026:</w:t>
      </w:r>
      <w:r>
        <w:t xml:space="preserve"> Schriftsatz an FA Trier (Änderungsantrag § 222 BewG, fehlerberichtigende Fortschreibung).</w:t>
      </w:r>
    </w:p>
    <w:p>
      <w:pPr>
        <w:pStyle w:val="ListNumber"/>
      </w:pPr>
      <w:r>
        <w:rPr>
          <w:b/>
        </w:rPr>
        <w:t>Parallel bis 15.06.2026:</w:t>
      </w:r>
      <w:r>
        <w:t xml:space="preserve"> Einspruch gegen Grundsteuerbescheid Stadt Trier (Grundsteuer-A-Anhang) und AdV-Antrag bei FA Trier für Folgewirkung.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