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Einspruch Grundsteuer A -- Stadt Trier</w:t>
      </w:r>
    </w:p>
    <w:p>
      <w:pPr>
        <w:jc w:val="left"/>
      </w:pPr>
      <w:r>
        <w:rPr>
          <w:b/>
        </w:rPr>
        <w:t>An die Stadt Trier</w:t>
      </w:r>
    </w:p>
    <w:p>
      <w:pPr>
        <w:jc w:val="left"/>
      </w:pPr>
      <w:r>
        <w:rPr>
          <w:b/>
        </w:rPr>
        <w:t>Steueramt -- Grundsteuerstelle</w:t>
      </w:r>
    </w:p>
    <w:p>
      <w:pPr>
        <w:jc w:val="left"/>
      </w:pPr>
      <w:r>
        <w:rPr>
          <w:b/>
        </w:rPr>
        <w:t>Augustinerhof 6</w:t>
      </w:r>
    </w:p>
    <w:p>
      <w:pPr>
        <w:jc w:val="left"/>
      </w:pPr>
      <w:r>
        <w:rPr>
          <w:b/>
        </w:rPr>
        <w:t>54290 Trier</w:t>
      </w:r>
    </w:p>
    <w:p>
      <w:pPr>
        <w:jc w:val="left"/>
      </w:pPr>
      <w:r>
        <w:rPr>
          <w:b/>
        </w:rPr>
        <w:t>Über:</w:t>
      </w:r>
    </w:p>
    <w:p>
      <w:pPr>
        <w:jc w:val="left"/>
      </w:pPr>
      <w:r>
        <w:t>Kanzlei Klotzkette Steuerrecht</w:t>
      </w:r>
    </w:p>
    <w:p>
      <w:pPr>
        <w:jc w:val="left"/>
      </w:pPr>
      <w:r>
        <w:t>RAin Brigitte Hauschulz-Müller, Fachanwältin für Steuerrecht</w:t>
      </w:r>
    </w:p>
    <w:p>
      <w:pPr>
        <w:jc w:val="left"/>
      </w:pPr>
      <w:r>
        <w:t>Hauptstraße 218, 54290 Trier</w:t>
      </w:r>
    </w:p>
    <w:p>
      <w:pPr>
        <w:jc w:val="left"/>
      </w:pPr>
      <w:r>
        <w:rPr>
          <w:b/>
        </w:rPr>
        <w:t>Mandantin:</w:t>
      </w:r>
    </w:p>
    <w:p>
      <w:pPr>
        <w:jc w:val="left"/>
      </w:pPr>
      <w:r>
        <w:t>WEG Rosenwinkel 14/16, vertreten durch die Rosenwinkel Hausverwaltung GmbH</w:t>
      </w:r>
    </w:p>
    <w:p>
      <w:pPr>
        <w:jc w:val="left"/>
      </w:pPr>
      <w:r>
        <w:rPr>
          <w:b/>
        </w:rPr>
        <w:t>Aktenzeichen Stadt / Kassenzeichen:</w:t>
      </w:r>
      <w:r>
        <w:t xml:space="preserve"> 7008-4419-RO14</w:t>
      </w:r>
    </w:p>
    <w:p>
      <w:pPr>
        <w:jc w:val="left"/>
      </w:pPr>
      <w:r>
        <w:rPr>
          <w:b/>
        </w:rPr>
        <w:t>Aktenzeichen Kanzlei:</w:t>
      </w:r>
      <w:r>
        <w:t xml:space="preserve"> KGK 2026-118 / Rosenwinkel</w:t>
      </w:r>
    </w:p>
    <w:p>
      <w:pPr>
        <w:jc w:val="left"/>
      </w:pPr>
      <w:r>
        <w:rPr>
          <w:b/>
        </w:rPr>
        <w:t>Betreff:</w:t>
      </w:r>
      <w:r>
        <w:t xml:space="preserve"> Grundsteuerbescheid 2026 vom 13.05.2026 -- Anhang Grundsteuer A "Hoffläche 226 qm"</w:t>
      </w:r>
    </w:p>
    <w:p>
      <w:pPr>
        <w:jc w:val="left"/>
      </w:pPr>
      <w:r>
        <w:rPr>
          <w:b/>
        </w:rPr>
        <w:t>Bezug:</w:t>
      </w:r>
      <w:r>
        <w:t xml:space="preserve"> Bescheid vom 13.05.2026, Anhang Seite 3</w:t>
      </w:r>
    </w:p>
    <w:p>
      <w:pPr>
        <w:jc w:val="left"/>
      </w:pPr>
      <w:r>
        <w:t>Sehr geehrte Damen und Herren,</w:t>
      </w:r>
    </w:p>
    <w:p>
      <w:pPr>
        <w:jc w:val="left"/>
      </w:pPr>
      <w:r>
        <w:t xml:space="preserve">namens und im Auftrag der WEG Rosenwinkel 14/16 legen wir hiermit </w:t>
      </w:r>
      <w:r>
        <w:rPr>
          <w:b/>
        </w:rPr>
        <w:t>Einspruch</w:t>
      </w:r>
      <w:r>
        <w:t xml:space="preserve"> gegen die im Anhang des Bescheids vom 13.05.2026 enthaltene Festsetzung der </w:t>
      </w:r>
      <w:r>
        <w:rPr>
          <w:b/>
        </w:rPr>
        <w:t>Grundsteuer A</w:t>
      </w:r>
      <w:r>
        <w:t xml:space="preserve"> für die Hoffläche von 226 qm in Höhe von </w:t>
      </w:r>
      <w:r>
        <w:rPr>
          <w:b/>
        </w:rPr>
        <w:t>35,42 EUR p. a.</w:t>
      </w:r>
      <w:r>
        <w:t xml:space="preserve"> ein.</w:t>
      </w:r>
    </w:p>
    <w:p>
      <w:pPr>
        <w:pStyle w:val="Heading2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 xml:space="preserve">Mit Bescheid vom 13.05.2026 hat die Stadt Trier die Grundsteuer für das Objekt Rosenwinkel 14/16 für das Jahr 2026 festgesetzt. Der </w:t>
      </w:r>
      <w:r>
        <w:rPr>
          <w:b/>
        </w:rPr>
        <w:t>Hauptbescheid</w:t>
      </w:r>
      <w:r>
        <w:t xml:space="preserve"> (Seite 1 -- 2) weist eine Grundsteuer B in Höhe von 19.486,39 EUR aus, basierend auf dem Messbetrag des Finanzamts Trier von 3.542,98 EUR und dem städtischen Hebesatz von 550 %.</w:t>
      </w:r>
    </w:p>
    <w:p>
      <w:pPr>
        <w:jc w:val="left"/>
      </w:pPr>
      <w:r>
        <w:t xml:space="preserve">Auf </w:t>
      </w:r>
      <w:r>
        <w:rPr>
          <w:b/>
        </w:rPr>
        <w:t>Seite 3</w:t>
      </w:r>
      <w:r>
        <w:t xml:space="preserve"> des Bescheids findet sich ein </w:t>
      </w:r>
      <w:r>
        <w:rPr>
          <w:b/>
        </w:rPr>
        <w:t>Anhang "Grundsteuer A -- Hoffläche 226 qm"</w:t>
      </w:r>
      <w:r>
        <w:t xml:space="preserve"> mit folgenden Daten:</w:t>
      </w:r>
    </w:p>
    <w:p>
      <w:pPr>
        <w:pStyle w:val="ListBullet"/>
      </w:pPr>
      <w:r>
        <w:t>Messbetrag: 10,12 EUR</w:t>
      </w:r>
    </w:p>
    <w:p>
      <w:pPr>
        <w:pStyle w:val="ListBullet"/>
      </w:pPr>
      <w:r>
        <w:t>Hebesatz Grundsteuer A 2026: 350 %</w:t>
      </w:r>
    </w:p>
    <w:p>
      <w:pPr>
        <w:pStyle w:val="ListBullet"/>
      </w:pPr>
      <w:r>
        <w:t>Jahresbetrag: 35,42 EUR</w:t>
      </w:r>
    </w:p>
    <w:p>
      <w:pPr>
        <w:pStyle w:val="ListBullet"/>
      </w:pPr>
      <w:r>
        <w:t>Fälligkeit: zusammen mit der Grundsteuer B in vier Quartalsraten</w:t>
      </w:r>
    </w:p>
    <w:p>
      <w:pPr>
        <w:pStyle w:val="Heading2"/>
      </w:pPr>
      <w:r>
        <w:rPr>
          <w:rFonts w:ascii="Times New Roman" w:hAnsi="Times New Roman"/>
        </w:rPr>
        <w:t>II. Begründung Einspruch</w:t>
      </w:r>
    </w:p>
    <w:p>
      <w:pPr>
        <w:jc w:val="left"/>
      </w:pPr>
      <w:r>
        <w:t xml:space="preserve">Die Festsetzung der </w:t>
      </w:r>
      <w:r>
        <w:rPr>
          <w:b/>
        </w:rPr>
        <w:t>Grundsteuer A</w:t>
      </w:r>
      <w:r>
        <w:t xml:space="preserve"> für die Hoffläche ist rechtswidrig:</w:t>
      </w:r>
    </w:p>
    <w:p>
      <w:pPr>
        <w:pStyle w:val="ListNumber"/>
      </w:pPr>
      <w:r>
        <w:rPr>
          <w:b/>
        </w:rPr>
        <w:t>Keine land- oder forstwirtschaftliche Nutzung.</w:t>
      </w:r>
      <w:r>
        <w:t xml:space="preserve"> Grundsteuer A betrifft nach § 218 BewG ausschließlich Betriebe der </w:t>
      </w:r>
      <w:r>
        <w:rPr>
          <w:b/>
        </w:rPr>
        <w:t>Land- und Forstwirtschaft</w:t>
      </w:r>
      <w:r>
        <w:t xml:space="preserve"> (§§ 232 ff. BewG). Die Hoffläche der WEG Rosenwinkel 14/16 ist Teil eines bebauten, gemischt genutzten Grundstücks in der Trierer Altstadt. Es handelt sich um einen </w:t>
      </w:r>
      <w:r>
        <w:rPr>
          <w:b/>
        </w:rPr>
        <w:t>Innenhof</w:t>
      </w:r>
      <w:r>
        <w:t xml:space="preserve"> des Wohn- und Geschäftshauses, der als Zubehörfläche (Zufahrt, Stellplätze, Müllplätze, kleine Gartenfläche) genutzt wird.</w:t>
      </w:r>
    </w:p>
    <w:p>
      <w:pPr>
        <w:pStyle w:val="ListNumber"/>
      </w:pPr>
      <w:r>
        <w:rPr>
          <w:b/>
        </w:rPr>
        <w:t>Bewertungsmäßig keine wirtschaftliche Einheit "Betrieb der Land- und Forstwirtschaft".</w:t>
      </w:r>
      <w:r>
        <w:t xml:space="preserve"> Die Hofflächen sind im Grundsteuerwertbescheid des Finanzamts Trier vom 22.08.2024 (Az. 42/318/00917 GWB) als Teil der </w:t>
      </w:r>
      <w:r>
        <w:rPr>
          <w:b/>
        </w:rPr>
        <w:t>einen</w:t>
      </w:r>
      <w:r>
        <w:t xml:space="preserve"> wirtschaftlichen Einheit "gemischt genutztes Grundstück" geführt -- nicht als separate Einheit Grundsteuer A. Eine separate Festsetzung durch die Gemeinde widerspricht dieser bestandskräftigen Feststellung des Finanzamts.</w:t>
      </w:r>
    </w:p>
    <w:p>
      <w:pPr>
        <w:pStyle w:val="ListNumber"/>
      </w:pPr>
      <w:r>
        <w:rPr>
          <w:b/>
        </w:rPr>
        <w:t>Keine Messbescheid-Grundlage.</w:t>
      </w:r>
      <w:r>
        <w:t xml:space="preserve"> Der Anhang Seite 3 nennt einen Messbetrag von 10,12 EUR ohne Bezug auf einen konkreten Messbescheid des Finanzamts. Ein gesonderter Grundsteuermessbescheid Grundsteuer A für die WEG existiert nach Aktenlage </w:t>
      </w:r>
      <w:r>
        <w:rPr>
          <w:b/>
        </w:rPr>
        <w:t>nicht</w:t>
      </w:r>
      <w:r>
        <w:t>. Die Festsetzung erfolgte ohne wirksamen Grundlagenbescheid (§ 184 AO).</w:t>
      </w:r>
    </w:p>
    <w:p>
      <w:pPr>
        <w:pStyle w:val="ListNumber"/>
      </w:pPr>
      <w:r>
        <w:rPr>
          <w:b/>
        </w:rPr>
        <w:t>Wahrscheinliche Verwechslung.</w:t>
      </w:r>
      <w:r>
        <w:t xml:space="preserve"> Es ist davon auszugehen, dass die Stadt Trier aus der Flurkarten-Auskunft (Flurstück 11 enthält teils Hof, teils Gebäudeflächen) irrtümlich eine separate Einheit "Hoffläche" abgeleitet und diese als Grundsteuer A klassifiziert hat.</w:t>
      </w:r>
    </w:p>
    <w:p>
      <w:pPr>
        <w:pStyle w:val="Heading2"/>
      </w:pPr>
      <w:r>
        <w:rPr>
          <w:rFonts w:ascii="Times New Roman" w:hAnsi="Times New Roman"/>
        </w:rPr>
        <w:t>III. Anträge</w:t>
      </w:r>
    </w:p>
    <w:p>
      <w:pPr>
        <w:pStyle w:val="ListNumber"/>
      </w:pPr>
      <w:r>
        <w:rPr>
          <w:b/>
        </w:rPr>
        <w:t>Aufhebung</w:t>
      </w:r>
      <w:r>
        <w:t xml:space="preserve"> der im Anhang des Bescheids vom 13.05.2026 enthaltenen Festsetzung der Grundsteuer A in Höhe von 35,42 EUR p. a.</w:t>
      </w:r>
    </w:p>
    <w:p>
      <w:pPr>
        <w:pStyle w:val="ListNumber"/>
      </w:pPr>
      <w:r>
        <w:rPr>
          <w:b/>
        </w:rPr>
        <w:t>Mitteilung</w:t>
      </w:r>
      <w:r>
        <w:t xml:space="preserve"> an die Hausverwaltung, dass auf die Hoffläche keine Grundsteuer A festgesetzt wird.</w:t>
      </w:r>
    </w:p>
    <w:p>
      <w:pPr>
        <w:pStyle w:val="ListNumber"/>
      </w:pPr>
      <w:r>
        <w:rPr>
          <w:b/>
        </w:rPr>
        <w:t>Berichtigung</w:t>
      </w:r>
      <w:r>
        <w:t xml:space="preserve"> des Bescheids im Sinne dieses Antrags, mit aktualisierter Quartalsfälligkeit.</w:t>
      </w:r>
    </w:p>
    <w:p>
      <w:pPr>
        <w:pStyle w:val="Heading2"/>
      </w:pPr>
      <w:r>
        <w:rPr>
          <w:rFonts w:ascii="Times New Roman" w:hAnsi="Times New Roman"/>
        </w:rPr>
        <w:t>IV. Hinweis</w:t>
      </w:r>
    </w:p>
    <w:p>
      <w:pPr>
        <w:jc w:val="left"/>
      </w:pPr>
      <w:r>
        <w:t xml:space="preserve">Es handelt sich hier um einen </w:t>
      </w:r>
      <w:r>
        <w:rPr>
          <w:b/>
        </w:rPr>
        <w:t>separaten Einspruch</w:t>
      </w:r>
      <w:r>
        <w:t xml:space="preserve"> zu einem </w:t>
      </w:r>
      <w:r>
        <w:rPr>
          <w:b/>
        </w:rPr>
        <w:t>separaten Festsetzungsteil</w:t>
      </w:r>
      <w:r>
        <w:t xml:space="preserve"> des Bescheids. Der Hauptbescheid (Grundsteuer B in Höhe von 19.486,39 EUR) wird nicht durch diesen Einspruch angegriffen, sondern parallel über einen Änderungsantrag beim </w:t>
      </w:r>
      <w:r>
        <w:rPr>
          <w:b/>
        </w:rPr>
        <w:t>Finanzamt Trier</w:t>
      </w:r>
      <w:r>
        <w:t xml:space="preserve"> wegen unrichtiger Bewertungsgrundlagen behandelt. Wir bitten, beide Verfahren getrennt zu führen.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Kanzlei Klotzkette Steuerrecht</w:t>
      </w:r>
    </w:p>
    <w:p>
      <w:pPr>
        <w:jc w:val="left"/>
      </w:pPr>
      <w:r>
        <w:t>RAin Brigitte Hauschulz-Müller</w:t>
      </w:r>
    </w:p>
    <w:p/>
    <w:p>
      <w:pPr>
        <w:pStyle w:val="Heading2"/>
      </w:pPr>
      <w:r>
        <w:rPr>
          <w:rFonts w:ascii="Times New Roman" w:hAnsi="Times New Roman"/>
        </w:rPr>
        <w:t>Erinnerung-Mahnung-Tabelle (intern, NICHT Versandfassung)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Grundsteuerbescheid 2026 erlassen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Stadt Trier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Bekanntgabe (Zustellungsstempel)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Hausverwaltung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Fälligkeit Rate Q2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 Seite 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Einspruchsfrist Ablauf</w:t>
            </w:r>
            <w:r>
              <w:rPr>
                <w:rFonts w:ascii="Times New Roman" w:hAnsi="Times New Roman"/>
                <w:sz w:val="20"/>
              </w:rPr>
              <w:t xml:space="preserve"> -- Hauptbescheid und Anhang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355 AO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29.05.2026 (geschätzt)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Mahnung Stufe 1 mögl. (14 Tage nach Fälligkeit)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Stadt Trier-Praxis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12.06.2026 (geschätzt)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Mahnung Stufe 2 mögl. (4 Wochen nach Fälligkeit)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Stadt Trier-Praxis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Säumniszuschlag 1 % je angefangenem 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240 AO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 zur Doppelten Strategie</w:t>
      </w:r>
    </w:p>
    <w:p>
      <w:pPr>
        <w:jc w:val="left"/>
      </w:pPr>
      <w:r>
        <w:t xml:space="preserve">Es ist üblich, dass Bürger reflexhaft die </w:t>
      </w:r>
      <w:r>
        <w:rPr>
          <w:b/>
        </w:rPr>
        <w:t>Stadt</w:t>
      </w:r>
      <w:r>
        <w:t xml:space="preserve"> als Adressatin sehen, weil dort die Zahlung anfällt. Die Akte zeigt aber: Bei korrekt rechnerischer Übernahme des Messbetrags bringt ein Hauptangriff gegen die Stadt nichts. Der Hauptangriff muss gegen das </w:t>
      </w:r>
      <w:r>
        <w:rPr>
          <w:b/>
        </w:rPr>
        <w:t>Finanzamt</w:t>
      </w:r>
      <w:r>
        <w:t xml:space="preserve"> gerichtet sein (Bewertungsfehler).</w:t>
      </w:r>
    </w:p>
    <w:p>
      <w:pPr>
        <w:jc w:val="left"/>
      </w:pPr>
      <w:r>
        <w:t>Dieses Verständnis ist sowohl der Hausverwaltung als auch den Eigentümer am 04.06. zu vermitteln. Vorschlag: in der Eigentümerversammlung mit einer einfachen Grafik darstellen.</w:t>
      </w:r>
    </w:p>
    <w:p>
      <w:pPr>
        <w:jc w:val="left"/>
      </w:pPr>
      <w:r>
        <w:t>```</w:t>
      </w:r>
    </w:p>
    <w:p>
      <w:pPr>
        <w:jc w:val="left"/>
      </w:pPr>
      <w:r>
        <w:t>Finanzamt Trier</w:t>
      </w:r>
    </w:p>
    <w:p/>
    <w:p>
      <w:pPr>
        <w:jc w:val="left"/>
      </w:pPr>
      <w:r>
        <w:t>Grundsteuerwertbescheid (= Was ist das Grundstück wert?)</w:t>
      </w:r>
    </w:p>
    <w:p>
      <w:pPr>
        <w:jc w:val="left"/>
      </w:pPr>
      <w:r>
        <w:t>--&gt; Grundsteuermessbescheid (= Wieviel pro 100% sollst Du zahlen?)</w:t>
      </w:r>
    </w:p>
    <w:p>
      <w:pPr>
        <w:jc w:val="left"/>
      </w:pPr>
      <w:r>
        <w:t>v (Grundlagenbescheid, bindend)</w:t>
      </w:r>
    </w:p>
    <w:p>
      <w:pPr>
        <w:jc w:val="left"/>
      </w:pPr>
      <w:r>
        <w:t>Stadt Trier</w:t>
      </w:r>
    </w:p>
    <w:p/>
    <w:p>
      <w:pPr>
        <w:jc w:val="left"/>
      </w:pPr>
      <w:r>
        <w:t>Grundsteuerbescheid (= Messbetrag x Hebesatz = Jahresbetrag)</w:t>
      </w:r>
    </w:p>
    <w:p>
      <w:pPr>
        <w:jc w:val="left"/>
      </w:pPr>
      <w:r>
        <w:t>-&gt; Quartalsraten</w:t>
      </w:r>
    </w:p>
    <w:p>
      <w:pPr>
        <w:jc w:val="left"/>
      </w:pPr>
      <w:r>
        <w:t>```</w:t>
      </w:r>
    </w:p>
    <w:p>
      <w:pPr>
        <w:jc w:val="left"/>
      </w:pPr>
      <w:r>
        <w:t xml:space="preserve">Wenn der </w:t>
      </w:r>
      <w:r>
        <w:rPr>
          <w:b/>
        </w:rPr>
        <w:t>obere Bescheid</w:t>
      </w:r>
      <w:r>
        <w:t xml:space="preserve"> falsch ist, ist auch der </w:t>
      </w:r>
      <w:r>
        <w:rPr>
          <w:b/>
        </w:rPr>
        <w:t>untere</w:t>
      </w:r>
      <w:r>
        <w:t xml:space="preserve"> falsch -- aber nur in dieser Reihenfolge. Eine direkte Korrektur beim städtischen Bescheid ohne Korrektur beim Finanzamt ist nicht möglich.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