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Lageplan-Notiz Rosenwinkel 14/16</w:t>
      </w:r>
    </w:p>
    <w:p>
      <w:pPr>
        <w:jc w:val="left"/>
      </w:pPr>
      <w:r>
        <w:rPr>
          <w:b/>
        </w:rPr>
        <w:t>Bearbeitung:</w:t>
      </w:r>
      <w:r>
        <w:t xml:space="preserve"> Architektin Franziska Wiegand, Trier (in Mitwirkung für die Verteidigung)</w:t>
      </w:r>
    </w:p>
    <w:p>
      <w:pPr>
        <w:jc w:val="left"/>
      </w:pPr>
      <w:r>
        <w:rPr>
          <w:b/>
        </w:rPr>
        <w:t>Datum:</w:t>
      </w:r>
      <w:r>
        <w:t xml:space="preserve"> 24.05.2026</w:t>
      </w:r>
    </w:p>
    <w:p>
      <w:pPr>
        <w:jc w:val="left"/>
      </w:pPr>
      <w:r>
        <w:rPr>
          <w:b/>
        </w:rPr>
        <w:t>Aktenzeichen Kanzlei:</w:t>
      </w:r>
      <w:r>
        <w:t xml:space="preserve"> KGK 2026-118 / Rosenwinkel</w:t>
      </w:r>
    </w:p>
    <w:p>
      <w:pPr>
        <w:jc w:val="left"/>
      </w:pPr>
      <w:r>
        <w:rPr>
          <w:b/>
        </w:rPr>
        <w:t>Anlass:</w:t>
      </w:r>
      <w:r>
        <w:t xml:space="preserve"> Bevorstehende Verfahrensvertretung WEG Rosenwinkel 14/16; Belegunterlage für die Lagebewertung</w:t>
      </w:r>
    </w:p>
    <w:p>
      <w:pPr>
        <w:pStyle w:val="Heading2"/>
      </w:pPr>
      <w:r>
        <w:rPr>
          <w:rFonts w:ascii="Times New Roman" w:hAnsi="Times New Roman"/>
        </w:rPr>
        <w:t>Lage</w:t>
      </w:r>
    </w:p>
    <w:p>
      <w:pPr>
        <w:jc w:val="left"/>
      </w:pPr>
      <w:r>
        <w:t xml:space="preserve">Das Grundstück liegt im Stadtteil Trier-Altstadt, Bereich südlich der Brückenstraße, östlich der Antoniusstraße. Die Adresse "Rosenwinkel" ist eine </w:t>
      </w:r>
      <w:r>
        <w:rPr>
          <w:b/>
        </w:rPr>
        <w:t>Seitengasse</w:t>
      </w:r>
      <w:r>
        <w:t xml:space="preserve"> mit folgenden Eigenschaften:</w:t>
      </w:r>
    </w:p>
    <w:p>
      <w:pPr>
        <w:pStyle w:val="ListBullet"/>
      </w:pPr>
      <w:r>
        <w:rPr>
          <w:b/>
        </w:rPr>
        <w:t>Lagecharakter:</w:t>
      </w:r>
      <w:r>
        <w:t xml:space="preserve"> Nebenlage (Wohngasse mit gemischter Nutzung; keine Geschäftslage).</w:t>
      </w:r>
    </w:p>
    <w:p>
      <w:pPr>
        <w:pStyle w:val="ListBullet"/>
      </w:pPr>
      <w:r>
        <w:rPr>
          <w:b/>
        </w:rPr>
        <w:t>Verkehr:</w:t>
      </w:r>
      <w:r>
        <w:t xml:space="preserve"> Anliegerverkehr; keine Durchgangsstraße; keine ÖPNV-Haltestellen näher als 280 m (Hauptmarkt).</w:t>
      </w:r>
    </w:p>
    <w:p>
      <w:pPr>
        <w:pStyle w:val="ListBullet"/>
      </w:pPr>
      <w:r>
        <w:rPr>
          <w:b/>
        </w:rPr>
        <w:t>Fußgängerfrequenz:</w:t>
      </w:r>
      <w:r>
        <w:t xml:space="preserve"> wochentags niedrig, Samstagvormittag erhöht durch Buchbinderei und ein nahe gelegenes Antiquariat.</w:t>
      </w:r>
    </w:p>
    <w:p>
      <w:pPr>
        <w:pStyle w:val="ListBullet"/>
      </w:pPr>
      <w:r>
        <w:rPr>
          <w:b/>
        </w:rPr>
        <w:t>Zufahrtsbreite:</w:t>
      </w:r>
      <w:r>
        <w:t xml:space="preserve"> </w:t>
      </w:r>
      <w:r>
        <w:rPr>
          <w:b/>
        </w:rPr>
        <w:t>schmal</w:t>
      </w:r>
      <w:r>
        <w:t>, max. 2,15 m auf Höhe des Tordurchgangs zum Innenhof; Lieferfahrzeuge &gt; 2,10 m Breite faktisch ausgeschlossen.</w:t>
      </w:r>
    </w:p>
    <w:p>
      <w:pPr>
        <w:pStyle w:val="ListBullet"/>
      </w:pPr>
      <w:r>
        <w:rPr>
          <w:b/>
        </w:rPr>
        <w:t>Gebäudealter im Umfeld:</w:t>
      </w:r>
      <w:r>
        <w:t xml:space="preserve"> überwiegend Vorkriegsbestand 1880 -- 1925, in Teilen denkmalgeschützt.</w:t>
      </w:r>
    </w:p>
    <w:p>
      <w:pPr>
        <w:pStyle w:val="ListBullet"/>
      </w:pPr>
      <w:r>
        <w:rPr>
          <w:b/>
        </w:rPr>
        <w:t>Entfernung zur Hauptlage (Hauptmarkt):</w:t>
      </w:r>
      <w:r>
        <w:t xml:space="preserve"> ca. 320 m Luftlinie, ca. 480 m Gehweg.</w:t>
      </w:r>
    </w:p>
    <w:p>
      <w:pPr>
        <w:pStyle w:val="ListBullet"/>
      </w:pPr>
      <w:r>
        <w:rPr>
          <w:b/>
        </w:rPr>
        <w:t>Entfernung zur Porta Nigra:</w:t>
      </w:r>
      <w:r>
        <w:t xml:space="preserve"> ca. 510 m.</w:t>
      </w:r>
    </w:p>
    <w:p>
      <w:pPr>
        <w:pStyle w:val="ListBullet"/>
      </w:pPr>
      <w:r>
        <w:rPr>
          <w:b/>
        </w:rPr>
        <w:t>Entfernung zur Universität Trier:</w:t>
      </w:r>
      <w:r>
        <w:t xml:space="preserve"> ca. 2,9 km.</w:t>
      </w:r>
    </w:p>
    <w:p>
      <w:pPr>
        <w:pStyle w:val="Heading2"/>
      </w:pPr>
      <w:r>
        <w:rPr>
          <w:rFonts w:ascii="Times New Roman" w:hAnsi="Times New Roman"/>
        </w:rPr>
        <w:t>Bodenrichtwert-Zone</w:t>
      </w:r>
    </w:p>
    <w:p>
      <w:pPr>
        <w:jc w:val="left"/>
      </w:pPr>
      <w:r>
        <w:t xml:space="preserve">Nach Auskunft des Gutachterausschusses Trier (Frau Hoffmann, telefonisch 14.04.2025) befindet sich der Rosenwinkel in einer </w:t>
      </w:r>
      <w:r>
        <w:rPr>
          <w:b/>
        </w:rPr>
        <w:t>"Nebenlagenzone Altstadt-Süd"</w:t>
      </w:r>
      <w:r>
        <w:t>, die nicht mit der Hauptlagenzone "Hauptmarkt-Marktrandlage" identisch ist. Die Hauptlage hat zum Stichtag 01.01.2022 Bodenrichtwerte zwischen 1.050 und 1.300 EUR/qm; die Nebenlage zwischen 700 und 850 EUR/qm.</w:t>
      </w:r>
    </w:p>
    <w:p>
      <w:pPr>
        <w:jc w:val="left"/>
      </w:pPr>
      <w:r>
        <w:t xml:space="preserve">Im Bescheid des FA Trier ist 1.050 EUR/qm als Bodenrichtwert angesetzt, also der untere Wert der </w:t>
      </w:r>
      <w:r>
        <w:rPr>
          <w:b/>
        </w:rPr>
        <w:t>Hauptlagen-Zone</w:t>
      </w:r>
      <w:r>
        <w:t xml:space="preserve">. Das ist nach unserer Einschätzung </w:t>
      </w:r>
      <w:r>
        <w:rPr>
          <w:b/>
        </w:rPr>
        <w:t>zu hoch</w:t>
      </w:r>
      <w:r>
        <w:t xml:space="preserve"> für die tatsächliche Lage des Grundstücks Rosenwinkel 14/16.</w:t>
      </w:r>
    </w:p>
    <w:p>
      <w:pPr>
        <w:jc w:val="left"/>
      </w:pPr>
      <w:r>
        <w:t>Die amtliche Bodenrichtwertauskunft ist beim Gutachterausschuss am 24.05.2026 beantragt (Antragseingang bestätigt). Voraussichtliche Bearbeitungszeit 7 -- 14 Werktage; Zugang bis spätestens 02.06.2026 erwartet.</w:t>
      </w:r>
    </w:p>
    <w:p>
      <w:pPr>
        <w:pStyle w:val="Heading2"/>
      </w:pPr>
      <w:r>
        <w:rPr>
          <w:rFonts w:ascii="Times New Roman" w:hAnsi="Times New Roman"/>
        </w:rPr>
        <w:t>Skizze der Gebäudeanordnung (textlich)</w:t>
      </w:r>
    </w:p>
    <w:p>
      <w:pPr>
        <w:jc w:val="left"/>
      </w:pPr>
      <w:r>
        <w:t>```</w:t>
      </w:r>
    </w:p>
    <w:p>
      <w:pPr>
        <w:jc w:val="left"/>
      </w:pPr>
      <w:r>
        <w:t>Rosenwinkel (Gasse) -- Eingangsseite Vorderhaus</w:t>
      </w:r>
    </w:p>
    <w:p>
      <w:pPr>
        <w:jc w:val="left"/>
      </w:pPr>
      <w:r>
        <w:t>+------------------------+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Vorderhaus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Vorderhaus: Baujahr 1908, 3 Stockwerke + DG, denkmalgeschützt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(EG/1.OG/2.OG/DG)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Eingang Rosenwinkel 14</w:t>
            </w:r>
          </w:p>
        </w:tc>
      </w:tr>
    </w:tbl>
    <w:p>
      <w:pPr>
        <w:jc w:val="left"/>
      </w:pPr>
      <w:r>
        <w:t>+----+--------------+----+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</w:tcPr>
          <w:p>
            <w:r>
              <w:rPr>
                <w:rFonts w:ascii="Times New Roman" w:hAnsi="Times New Roman"/>
                <w:b/>
                <w:sz w:val="20"/>
              </w:rPr>
              <w:t>Tordurch-</w:t>
            </w:r>
          </w:p>
        </w:tc>
      </w:tr>
      <w:tr>
        <w:tc>
          <w:tcPr>
            <w:tcW w:type="dxa" w:w="9072"/>
          </w:tcPr>
          <w:p>
            <w:r>
              <w:rPr>
                <w:rFonts w:ascii="Times New Roman" w:hAnsi="Times New Roman"/>
                <w:sz w:val="20"/>
              </w:rPr>
              <w:t>gang 2,15m</w:t>
            </w:r>
          </w:p>
        </w:tc>
      </w:tr>
    </w:tbl>
    <w:p>
      <w:pPr>
        <w:jc w:val="left"/>
      </w:pPr>
      <w:r>
        <w:t>+----+              +----+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Innenhof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Hof: 226 qm Pflaster (1880er, denkmalgeschützt)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(Pflaster)</w:t>
            </w:r>
          </w:p>
        </w:tc>
        <w:tc>
          <w:tcPr>
            <w:tcW w:type="dxa" w:w="4536"/>
          </w:tcPr>
          <w:p/>
        </w:tc>
      </w:tr>
    </w:tbl>
    <w:p>
      <w:pPr>
        <w:jc w:val="left"/>
      </w:pPr>
      <w:r>
        <w:t>+----+--------------+----+</w:t>
      </w:r>
    </w:p>
    <w:p>
      <w:pPr>
        <w:jc w:val="left"/>
      </w:pPr>
      <w:r>
        <w:t>+----+              +----+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Seitenflügel +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Seitenflügel: 1923, Brandschutz/Feuchte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Hinterhaus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Hinterhaus: ca. 1890, Werkstatt/Archiv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(Adresse Rosenwinkel 16)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Hofgebäude, keine Wohnerschließung</w:t>
            </w:r>
          </w:p>
        </w:tc>
      </w:tr>
    </w:tbl>
    <w:p>
      <w:pPr>
        <w:jc w:val="left"/>
      </w:pPr>
      <w:r>
        <w:t>+------------------------+</w:t>
      </w:r>
    </w:p>
    <w:p>
      <w:pPr>
        <w:jc w:val="left"/>
      </w:pPr>
      <w:r>
        <w:t>Nachbargrundstück</w:t>
      </w:r>
    </w:p>
    <w:p>
      <w:pPr>
        <w:jc w:val="left"/>
      </w:pPr>
      <w:r>
        <w:t>Rosenwinkel 18</w:t>
      </w:r>
    </w:p>
    <w:p>
      <w:pPr>
        <w:jc w:val="left"/>
      </w:pPr>
      <w:r>
        <w:t>```</w:t>
      </w:r>
    </w:p>
    <w:p>
      <w:pPr>
        <w:pStyle w:val="Heading2"/>
      </w:pPr>
      <w:r>
        <w:rPr>
          <w:rFonts w:ascii="Times New Roman" w:hAnsi="Times New Roman"/>
        </w:rPr>
        <w:t>Gebäudeflächen (Brutto-Grundfläche, BGF, nach DIN 277)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Gebäudeteil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BGF (qm)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Bemerkung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Vorderhaus EG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308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Buchbinderei + Laden + Treppenhaus + Allgemeinflächen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Vorderhaus 1. OG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286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zwei Wohnungen + Treppenhaus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Vorderhaus 2. OG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286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zwei Wohnungen + Treppenhaus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Vorderhaus DG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188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Wohnung Dr. v. Pollerich + Dachschrägenanteil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Seitenflügel EG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102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Lager, feucht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Seitenflügel 1. OG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96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Wohnatelier (Brandschutzgenehmigung erforderlich)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Seitenflügel 2. OG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96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Wohnung S2 (eigengenutzt Yildiz)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Hinterhaus EG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64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Werkstatt Buchbinderei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Hinterhaus 1. OG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54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Archiv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Summe BGF Gebäude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1.480</w:t>
            </w:r>
          </w:p>
        </w:tc>
        <w:tc>
          <w:tcPr>
            <w:tcW w:type="dxa" w:w="3024"/>
          </w:tcPr>
          <w:p/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Hoffläche Pflaster (nicht überbaut)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226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Innenhof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Erschließungsflächen (Treppen, Flure)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(in BGF enthalten)</w:t>
            </w:r>
          </w:p>
        </w:tc>
        <w:tc>
          <w:tcPr>
            <w:tcW w:type="dxa" w:w="3024"/>
          </w:tcPr>
          <w:p/>
        </w:tc>
      </w:tr>
    </w:tbl>
    <w:p>
      <w:pPr>
        <w:pStyle w:val="Heading2"/>
      </w:pPr>
      <w:r>
        <w:rPr>
          <w:rFonts w:ascii="Times New Roman" w:hAnsi="Times New Roman"/>
        </w:rPr>
        <w:t>Wohnfläche (WoFlV) nach Aufmaß Wiegand 2021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Einheit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WoFl. (qm)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Bemerkung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W3 (1.OG VH links)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138</w:t>
            </w:r>
          </w:p>
        </w:tc>
        <w:tc>
          <w:tcPr>
            <w:tcW w:type="dxa" w:w="3024"/>
          </w:tcPr>
          <w:p/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W4 (1.OG VH rechts)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102</w:t>
            </w:r>
          </w:p>
        </w:tc>
        <w:tc>
          <w:tcPr>
            <w:tcW w:type="dxa" w:w="3024"/>
          </w:tcPr>
          <w:p/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W5 (2.OG VH links)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105</w:t>
            </w:r>
          </w:p>
        </w:tc>
        <w:tc>
          <w:tcPr>
            <w:tcW w:type="dxa" w:w="3024"/>
          </w:tcPr>
          <w:p/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W6 (2.OG VH rechts)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102</w:t>
            </w:r>
          </w:p>
        </w:tc>
        <w:tc>
          <w:tcPr>
            <w:tcW w:type="dxa" w:w="3024"/>
          </w:tcPr>
          <w:p/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W7 (DG VH)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96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DIN 277 mit Dachschrägenrechnung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W9 (1.OG Seitenflügel)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64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Wohnatelier (Nutzungseinschränkung)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W10 (2.OG Seitenflügel)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71</w:t>
            </w:r>
          </w:p>
        </w:tc>
        <w:tc>
          <w:tcPr>
            <w:tcW w:type="dxa" w:w="3024"/>
          </w:tcPr>
          <w:p/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Summe Wohnfläche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678</w:t>
            </w:r>
          </w:p>
        </w:tc>
        <w:tc>
          <w:tcPr>
            <w:tcW w:type="dxa" w:w="3024"/>
          </w:tcPr>
          <w:p/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Differenz zum Bescheid (1.034 qm)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-356 qm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erheblich zu hoch im Bescheid</w:t>
            </w:r>
          </w:p>
        </w:tc>
      </w:tr>
    </w:tbl>
    <w:p>
      <w:pPr>
        <w:pStyle w:val="Heading2"/>
      </w:pPr>
      <w:r>
        <w:rPr>
          <w:rFonts w:ascii="Times New Roman" w:hAnsi="Times New Roman"/>
        </w:rPr>
        <w:t>Nutzfläche Gewerbe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Einheit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Nutzfl. (qm)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Bemerkung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W1 (EG VH links, Buchbinderei)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86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Mietvertrag Klee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W2 (EG VH rechts, leerstehend)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72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seit 09/2024 leer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W11/W12 (Hinterhaus, Werkstatt/Archiv)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118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nicht-wohngenutzt, in Nutzfläche zuzuordnen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W8 (EG Seitenflügel, Lager)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54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faktisch unnutzbar, Feuchte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Summe Nutzfläche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330</w:t>
            </w:r>
          </w:p>
        </w:tc>
        <w:tc>
          <w:tcPr>
            <w:tcW w:type="dxa" w:w="3024"/>
          </w:tcPr>
          <w:p/>
        </w:tc>
      </w:tr>
    </w:tbl>
    <w:p>
      <w:pPr>
        <w:pStyle w:val="Heading2"/>
      </w:pPr>
      <w:r>
        <w:rPr>
          <w:rFonts w:ascii="Times New Roman" w:hAnsi="Times New Roman"/>
        </w:rPr>
        <w:t>Vergleich Erklärung 2023 / Bescheid 2024 / Realität laut Aufmaß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814"/>
          </w:tcPr>
          <w:p>
            <w:r>
              <w:rPr>
                <w:rFonts w:ascii="Times New Roman" w:hAnsi="Times New Roman"/>
                <w:b/>
                <w:sz w:val="20"/>
              </w:rPr>
              <w:t>Position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b/>
                <w:sz w:val="20"/>
              </w:rPr>
              <w:t>Erklärung 2023 (HV)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b/>
                <w:sz w:val="20"/>
              </w:rPr>
              <w:t>Bescheid 2024 (FA)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b/>
                <w:sz w:val="20"/>
              </w:rPr>
              <w:t>Realität (Aufmaß Wiegand 2021)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b/>
                <w:sz w:val="20"/>
              </w:rPr>
              <w:t>Differenz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Grundstücksfläche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1.148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1.148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1.148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Wohnfläche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1.034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1.034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678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-356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Nutzfläche Gewerbe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184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184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330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+146 (Umqualifizierung Hinterhaus)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Bodenrichtwert EUR/qm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1.050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1.050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erw. 700 -- 850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-200 bis -350</w:t>
            </w:r>
          </w:p>
        </w:tc>
      </w:tr>
    </w:tbl>
    <w:p>
      <w:pPr>
        <w:pStyle w:val="Heading2"/>
      </w:pPr>
      <w:r>
        <w:rPr>
          <w:rFonts w:ascii="Times New Roman" w:hAnsi="Times New Roman"/>
        </w:rPr>
        <w:t>Hinweise zur Lageargumentation</w:t>
      </w:r>
    </w:p>
    <w:p>
      <w:pPr>
        <w:pStyle w:val="ListNumber"/>
      </w:pPr>
      <w:r>
        <w:t xml:space="preserve">Der Rosenwinkel selbst ist </w:t>
      </w:r>
      <w:r>
        <w:rPr>
          <w:b/>
        </w:rPr>
        <w:t>keine Geschäftsstraße</w:t>
      </w:r>
      <w:r>
        <w:t>. Die Buchbinderei wird zu nicht-Geschäftslagen-typischen Konditionen vermietet (4,50 EUR/qm netto kalt).</w:t>
      </w:r>
    </w:p>
    <w:p>
      <w:pPr>
        <w:pStyle w:val="ListNumber"/>
      </w:pPr>
      <w:r>
        <w:t>Im Umkreis von 100 m gibt es keinen Lebensmittel-Einzelhandel und keine Apotheke. Nächste Lebensmittelversorgung am Hauptmarkt (320 m).</w:t>
      </w:r>
    </w:p>
    <w:p>
      <w:pPr>
        <w:pStyle w:val="ListNumber"/>
      </w:pPr>
      <w:r>
        <w:t xml:space="preserve">Die Eintönigkeit von Wohnnutzung und kleinem Handwerk ist für eine </w:t>
      </w:r>
      <w:r>
        <w:rPr>
          <w:b/>
        </w:rPr>
        <w:t>Nebenlage</w:t>
      </w:r>
      <w:r>
        <w:t xml:space="preserve"> typisch.</w:t>
      </w:r>
    </w:p>
    <w:p>
      <w:pPr>
        <w:pStyle w:val="ListNumber"/>
      </w:pPr>
      <w:r>
        <w:t>Der schmale Tordurchgang (2,15 m) macht Lieferung und Anlieferung für eine echte Geschäftsnutzung unattraktiv.</w:t>
      </w:r>
    </w:p>
    <w:p>
      <w:pPr>
        <w:pStyle w:val="ListNumber"/>
      </w:pPr>
      <w:r>
        <w:t>Vergleichsobjekt Reichgasse 22 (300 m entfernt, ähnliche Eckgebäudesituation, gleiches Bodenrichtwert-Niveau zu erwarten) wurde im November 2024 für 2.140.000 EUR verkauft -- Vergleichswert untermauert unsere Verkehrswertschätzung.</w:t>
      </w:r>
    </w:p>
    <w:p>
      <w:pPr>
        <w:pStyle w:val="Heading2"/>
      </w:pPr>
      <w:r>
        <w:rPr>
          <w:rFonts w:ascii="Times New Roman" w:hAnsi="Times New Roman"/>
        </w:rPr>
        <w:t>Schlussfolgerung</w:t>
      </w:r>
    </w:p>
    <w:p>
      <w:pPr>
        <w:jc w:val="left"/>
      </w:pPr>
      <w:r>
        <w:t xml:space="preserve">Die Lage Rosenwinkel 14/16 entspricht </w:t>
      </w:r>
      <w:r>
        <w:rPr>
          <w:b/>
        </w:rPr>
        <w:t>einer Nebenlagenzone</w:t>
      </w:r>
      <w:r>
        <w:t>, nicht einer Hauptlagenzone. Der im FA-Bescheid angesetzte Bodenrichtwert von 1.050 EUR/qm ist mutmaßlich um 20 -- 30 % zu hoch. Allein der korrekte Bodenrichtwertansatz dürfte den Grundsteuerwert um ca. 240.000 -- 360.000 EUR reduzieren (bei 1.148 qm Grundstücksfläche). Hinzu kommen die Flächenfehler (Wohnfläche / Nutzfläche-Umqualifizierung Hinterhaus, Dachschrägenrechnung DG, Balkon-Anteilsrechnung).</w:t>
      </w:r>
    </w:p>
    <w:p>
      <w:pPr>
        <w:jc w:val="left"/>
      </w:pPr>
      <w:r>
        <w:t xml:space="preserve">Diese Notiz dient als </w:t>
      </w:r>
      <w:r>
        <w:rPr>
          <w:b/>
        </w:rPr>
        <w:t>Belegunterlage</w:t>
      </w:r>
      <w:r>
        <w:t xml:space="preserve"> für den Schriftsatz an das FA Trier und für ein etwaiges Verkehrswertgutachten. Sie ersetzt nicht das Aufmaß selbst (Anlage 7 zum Schriftsatz) und nicht die amtliche Bodenrichtwertauskunft (folgt bis 02.06.2026).</w:t>
      </w:r>
    </w:p>
    <w:p>
      <w:pPr>
        <w:pStyle w:val="Heading2"/>
      </w:pPr>
      <w:r>
        <w:rPr>
          <w:rFonts w:ascii="Times New Roman" w:hAnsi="Times New Roman"/>
        </w:rPr>
        <w:t>Aufmaß-Standards angewendet</w:t>
      </w:r>
    </w:p>
    <w:p>
      <w:pPr>
        <w:pStyle w:val="ListBullet"/>
      </w:pPr>
      <w:r>
        <w:t>DIN 277: Brutto-Grundfläche (BGF), Konstruktions-Grundfläche (KGF), Nutzungsfläche (NUF).</w:t>
      </w:r>
    </w:p>
    <w:p>
      <w:pPr>
        <w:pStyle w:val="ListBullet"/>
      </w:pPr>
      <w:r>
        <w:t>Wohnflächenverordnung (WoFlV): Wohnflächenrechnung mit Berücksichtigung von Dachschrägen (50 % zwischen 1,00 m und 2,00 m Höhe; 0 % unter 1,00 m).</w:t>
      </w:r>
    </w:p>
    <w:p>
      <w:pPr>
        <w:pStyle w:val="ListBullet"/>
      </w:pPr>
      <w:r>
        <w:t>Anteilige Anrechnung von Balkonflächen (50 %, § 4 WoFlV).</w:t>
      </w:r>
    </w:p>
    <w:p>
      <w:pPr>
        <w:pStyle w:val="ListBullet"/>
      </w:pPr>
      <w:r>
        <w:t>Keine Anrechnung von Kellerabteilen ohne Wohnzweck.</w:t>
      </w:r>
    </w:p>
    <w:p>
      <w:pPr>
        <w:pStyle w:val="ListBullet"/>
      </w:pPr>
      <w:r>
        <w:t>Hinterhaus: nicht-Wohnnutzung dokumentiert über Gewerbegenehmigung 1987, keine Heizungs-/Sanitärinstallation.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