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Bescheide-Konvolut Grundsteuer A vs. B -- Detailaufnahme</w:t>
      </w:r>
    </w:p>
    <w:p>
      <w:pPr>
        <w:jc w:val="left"/>
      </w:pPr>
      <w:r>
        <w:rPr>
          <w:b/>
        </w:rPr>
        <w:t>Bearbeitung:</w:t>
      </w:r>
      <w:r>
        <w:t xml:space="preserve"> Lukas Hartmann, Steuerassistent</w:t>
      </w:r>
    </w:p>
    <w:p>
      <w:pPr>
        <w:jc w:val="left"/>
      </w:pPr>
      <w:r>
        <w:rPr>
          <w:b/>
        </w:rPr>
        <w:t>Datum:</w:t>
      </w:r>
      <w:r>
        <w:t xml:space="preserve"> 25.05.2026</w:t>
      </w:r>
    </w:p>
    <w:p>
      <w:pPr>
        <w:jc w:val="left"/>
      </w:pPr>
      <w:r>
        <w:rPr>
          <w:b/>
        </w:rPr>
        <w:t>Zweck:</w:t>
      </w:r>
      <w:r>
        <w:t xml:space="preserve"> Aufnahme und Detailprüfung sämtlicher Bescheide / Bescheidteile, die auf das Objekt Rosenwinkel 14/16 ergangen sind, mit Klärung der Grundsteuer-A-/-B-Verwechslung</w:t>
      </w:r>
    </w:p>
    <w:p>
      <w:pPr>
        <w:pStyle w:val="Heading2"/>
      </w:pPr>
      <w:r>
        <w:rPr>
          <w:rFonts w:ascii="Times New Roman" w:hAnsi="Times New Roman"/>
        </w:rPr>
        <w:t>Übersicht</w:t>
      </w:r>
    </w:p>
    <w:p>
      <w:pPr>
        <w:jc w:val="left"/>
      </w:pPr>
      <w:r>
        <w:t xml:space="preserve">Die Akte enthält im Original drei Bescheide vom Finanzamt Trier (von 2024) und einen Bescheid der Stadt Trier (vom 13.05.2026), wobei der Bescheid der Stadt Trier </w:t>
      </w:r>
      <w:r>
        <w:rPr>
          <w:b/>
        </w:rPr>
        <w:t>zwei Festsetzungsteile</w:t>
      </w:r>
      <w:r>
        <w:t xml:space="preserve"> enthält (Grundsteuer B im Hauptteil und Grundsteuer A im Anhang Seite 3). Insgesamt sind damit fünf Festsetzungen zu prüfen: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Bescheid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Festgesetzter Betrag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Festsetzungsart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Streitstand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Grundsteuerwertbescheid FA Trier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22.08.2024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42/318/00917 GWB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3.284.000 EUR (Wert)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Feststellung Grundsteuerwert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Änderungsantrag § 222 BewG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Grundsteuermessbescheid FA Trier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22.08.2024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42/318/00917 MES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3.542,98 EUR (Messbetrag ab 2025)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Feststellung Messbetrag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Folgeänderung nach Korrektur Nr. 1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Grundsteuerbescheid Stadt Trier 2025 (vorab)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28.11.2024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7008-4419-RO14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19.486,39 EUR (Jahresbetrag 2025)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Hebesatz-Festsetzung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Bestandskräftig; ggf. nachträgliche Berichtigung über Korrektur Nr. 2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Grundsteuerbescheid Stadt Trier 2026 (Hauptteil)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7008-4419-RO14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19.486,39 EUR (Jahresbetrag 2026)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Hebesatz-Festsetzung Grundsteuer 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Frist 15.06.2026; Stundung beantragt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Grundsteuerbescheid Stadt Trier 2026 (Anhang Seite 3)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7008-4419-RO14 (gleicher Bescheid, eigene Position)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35,42 EUR (Jahresbetrag 2026)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Hebesatz-Festsetzung Grundsteuer 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Einspruch geplant: keine landwirtschaftliche Nutzung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Bescheid Nr. 3 (Stadt Trier 2025) -- nachträglich aufgetaucht</w:t>
      </w:r>
    </w:p>
    <w:p>
      <w:pPr>
        <w:jc w:val="left"/>
      </w:pPr>
      <w:r>
        <w:t xml:space="preserve">Bei der Akteneinsicht beim Mandanten am 22.05.2026 hat die Hausverwaltung einen weiteren Bescheid gefunden: den </w:t>
      </w:r>
      <w:r>
        <w:rPr>
          <w:b/>
        </w:rPr>
        <w:t>Grundsteuerbescheid 2025</w:t>
      </w:r>
      <w:r>
        <w:t xml:space="preserve"> vom 28.11.2024. Dieser war im Aktenstapel der Hausverwaltung unter "Steuersachen 2024/2025" abgelegt, aber bislang nicht an die Kanzlei übermittelt. Bekanntgabe: 02.12.2024. Einspruchsfrist abgelaufen 02.01.2025. </w:t>
      </w:r>
      <w:r>
        <w:rPr>
          <w:b/>
        </w:rPr>
        <w:t>Bestandskräftig.</w:t>
      </w:r>
    </w:p>
    <w:p>
      <w:pPr>
        <w:jc w:val="left"/>
      </w:pPr>
      <w:r>
        <w:t>Inhalt: gleicher Messbetrag (3.542,98 EUR), gleicher Hebesatz (550 %), gleicher Jahresbetrag (19.486,39 EUR), gleiches Kassenzeichen. Quartalsfälligkeiten 15.02. / 15.05. / 15.08. / 15.11.2025.</w:t>
      </w:r>
    </w:p>
    <w:p>
      <w:pPr>
        <w:jc w:val="left"/>
      </w:pPr>
      <w:r>
        <w:rPr>
          <w:b/>
        </w:rPr>
        <w:t>Auffälligkeit:</w:t>
      </w:r>
      <w:r>
        <w:t xml:space="preserve"> Im Bescheid 2025 fehlt der Anhang Grundsteuer A! Die separate Festsetzung Grundsteuer A 226 qm tauchte zum ersten Mal im Bescheid </w:t>
      </w:r>
      <w:r>
        <w:rPr>
          <w:b/>
        </w:rPr>
        <w:t>2026</w:t>
      </w:r>
      <w:r>
        <w:t xml:space="preserve"> auf. Vermutung Hartmann: Die Stadt hat im Lauf von 2025 -- vermutlich nach interner Datenabgleich-Routine zwischen Liegenschaftskataster und Steueramt -- die Hoffläche als separate Einheit erkannt und neu klassifiziert. Diese Klassifizierung ist nach unserer Einschätzung falsch (siehe </w:t>
      </w:r>
      <w:r>
        <w:t>08-einspruch-grundsteuer-A-stadt.md</w:t>
      </w:r>
      <w:r>
        <w:t>).</w:t>
      </w:r>
    </w:p>
    <w:p>
      <w:pPr>
        <w:jc w:val="left"/>
      </w:pPr>
      <w:r>
        <w:rPr>
          <w:b/>
        </w:rPr>
        <w:t>Folgewirkung:</w:t>
      </w:r>
      <w:r>
        <w:t xml:space="preserve"> Der Bescheid 2025 ist bestandskräftig; eine Korrektur nach § 130 AO oder § 131 AO setzt einen besonderen Aufhebungsgrund voraus. Wenn die Korrektur des Grundsteuerwertbescheids (Nr. 1) gelingt, ist § 175 Abs. 1 Nr. 1 AO (Folgeänderung bei Änderung Grundlagenbescheid) ein Aufhebungsgrund auch für den Bescheid 2025.</w:t>
      </w:r>
    </w:p>
    <w:p>
      <w:pPr>
        <w:pStyle w:val="Heading2"/>
      </w:pPr>
      <w:r>
        <w:rPr>
          <w:rFonts w:ascii="Times New Roman" w:hAnsi="Times New Roman"/>
        </w:rPr>
        <w:t>Detailanalyse "Grundsteuer A 226 qm"</w:t>
      </w:r>
    </w:p>
    <w:p>
      <w:pPr>
        <w:jc w:val="left"/>
      </w:pPr>
      <w:r>
        <w:t>Der Bescheid 2026 enthält im Anhang Seite 3 folgende Daten zur "Grundsteuer A -- Hoffläche 226 qm":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Bezeichnung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"Grundsteuer A für Land- und Forstwirtschaft -- Teilfläche Hof Rosenwinkel 14/16"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 Stadt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7008-4419-RO14 (gleiches Kassenzeichen wie Grundsteuer B)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Bezugnahme FA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"Messbescheid Finanzamt Trier, lt. Datenbank Hebesatz 350 %"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Messbetrag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10,12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Steuersatz Stadt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35,42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Fälligkeit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"zusammen mit Quartalsraten Grundsteuer B"</w:t>
            </w:r>
          </w:p>
        </w:tc>
      </w:tr>
    </w:tbl>
    <w:p>
      <w:pPr>
        <w:jc w:val="left"/>
      </w:pPr>
      <w:r>
        <w:rPr>
          <w:b/>
        </w:rPr>
        <w:t>Probleme:</w:t>
      </w:r>
    </w:p>
    <w:p>
      <w:pPr>
        <w:pStyle w:val="ListNumber"/>
      </w:pPr>
      <w:r>
        <w:t xml:space="preserve">Es gibt </w:t>
      </w:r>
      <w:r>
        <w:rPr>
          <w:b/>
        </w:rPr>
        <w:t>keinen Grundsteuermessbescheid Grundsteuer A</w:t>
      </w:r>
      <w:r>
        <w:t xml:space="preserve"> des FA Trier (Az. 42/318/00917 MES enthält nur die einheitliche Festsetzung Grundsteuer B). Die Stadt hat den Messbetrag 10,12 EUR offenbar </w:t>
      </w:r>
      <w:r>
        <w:rPr>
          <w:b/>
        </w:rPr>
        <w:t>selbst geschätzt oder aus einer internen Datenbank abgeleitet</w:t>
      </w:r>
      <w:r>
        <w:t>. Das ist verfahrensrechtlich problematisch (§ 184 AO -- Bindung an Grundlagenbescheid; ohne wirksamen Messbescheid keine wirksame Hebesatzfestsetzung Grundsteuer A).</w:t>
      </w:r>
    </w:p>
    <w:p>
      <w:pPr>
        <w:pStyle w:val="ListNumber"/>
      </w:pPr>
      <w:r>
        <w:t xml:space="preserve">Die Hoffläche ist </w:t>
      </w:r>
      <w:r>
        <w:rPr>
          <w:b/>
        </w:rPr>
        <w:t>keine</w:t>
      </w:r>
      <w:r>
        <w:t xml:space="preserve"> wirtschaftliche Einheit "Betrieb der Land- und Forstwirtschaft" im Sinne von § 218 BewG. Der Hof gehört zur einen wirtschaftlichen Einheit "gemischt genutztes Grundstück" und ist bereits im Grundsteuerwert von 3.284.000 EUR (Bescheid Nr. 1) als Grundstücksfläche enthalten.</w:t>
      </w:r>
    </w:p>
    <w:p>
      <w:pPr>
        <w:pStyle w:val="ListNumber"/>
      </w:pPr>
      <w:r>
        <w:rPr>
          <w:b/>
        </w:rPr>
        <w:t>Doppelte Erfassung der Hoffläche:</w:t>
      </w:r>
      <w:r>
        <w:t xml:space="preserve"> Der Hof von 226 qm ist Teil der Grundstücksfläche von 1.148 qm im Grundsteuerwertbescheid. Er wird damit über die Grundsteuer B bereits steuerlich erfasst. Eine zusätzliche Festsetzung als Grundsteuer A würde die Hoffläche doppelt besteuern.</w:t>
      </w:r>
    </w:p>
    <w:p>
      <w:pPr>
        <w:jc w:val="left"/>
      </w:pPr>
      <w:r>
        <w:rPr>
          <w:b/>
        </w:rPr>
        <w:t>Schlussfolgerung:</w:t>
      </w:r>
      <w:r>
        <w:t xml:space="preserve"> Die Festsetzung Grundsteuer A ist sowohl materiell-rechtlich (keine LuF-Nutzung) als auch verfahrensrechtlich (kein wirksamer Grundlagenbescheid) als auch wegen Doppelerfassung rechtswidrig und muss aufgehoben werden.</w:t>
      </w:r>
    </w:p>
    <w:p>
      <w:pPr>
        <w:pStyle w:val="Heading2"/>
      </w:pPr>
      <w:r>
        <w:rPr>
          <w:rFonts w:ascii="Times New Roman" w:hAnsi="Times New Roman"/>
        </w:rPr>
        <w:t>Aufnahme aus dem Liegenschaftskataster</w:t>
      </w:r>
    </w:p>
    <w:p>
      <w:pPr>
        <w:jc w:val="left"/>
      </w:pPr>
      <w:r>
        <w:t>Wir haben am 25.05.2026 eine Aktualisierung des Liegenschaftskatasters für Flur 7022 / Flurstück 11 beim Katasteramt Trier eingesehen (Online-Auszug, Stand 24.05.2026). Auszug:</w:t>
      </w:r>
    </w:p>
    <w:p>
      <w:pPr>
        <w:jc w:val="left"/>
      </w:pPr>
      <w:r>
        <w:t>```</w:t>
      </w:r>
    </w:p>
    <w:p>
      <w:pPr>
        <w:jc w:val="left"/>
      </w:pPr>
      <w:r>
        <w:t>Flurstück:        11</w:t>
      </w:r>
    </w:p>
    <w:p>
      <w:pPr>
        <w:jc w:val="left"/>
      </w:pPr>
      <w:r>
        <w:t>Flur:             7022</w:t>
      </w:r>
    </w:p>
    <w:p>
      <w:pPr>
        <w:jc w:val="left"/>
      </w:pPr>
      <w:r>
        <w:t>Gemarkung:        Trier-Altstadt</w:t>
      </w:r>
    </w:p>
    <w:p>
      <w:pPr>
        <w:jc w:val="left"/>
      </w:pPr>
      <w:r>
        <w:t>Gesamtflaeche:    1.148 qm</w:t>
      </w:r>
    </w:p>
    <w:p>
      <w:pPr>
        <w:jc w:val="left"/>
      </w:pPr>
      <w:r>
        <w:t>Nutzungsart:      "Wohnen / gemischte Nutzung" (Hauptnutzung)</w:t>
      </w:r>
    </w:p>
    <w:p>
      <w:pPr>
        <w:jc w:val="left"/>
      </w:pPr>
      <w:r>
        <w:t>Untergeordnete Nutzungen:</w:t>
      </w:r>
    </w:p>
    <w:p>
      <w:pPr>
        <w:pStyle w:val="ListBullet"/>
      </w:pPr>
      <w:r>
        <w:t>Wohnbauflaeche (ueberbaut)   ca. 660 qm</w:t>
      </w:r>
    </w:p>
    <w:p>
      <w:pPr>
        <w:pStyle w:val="ListBullet"/>
      </w:pPr>
      <w:r>
        <w:t>Hofflaeche (nicht ueberbaut) ca. 226 qm</w:t>
      </w:r>
    </w:p>
    <w:p>
      <w:pPr>
        <w:pStyle w:val="ListBullet"/>
      </w:pPr>
      <w:r>
        <w:t>Gartenflaeche                ca.  90 qm</w:t>
      </w:r>
    </w:p>
    <w:p>
      <w:pPr>
        <w:pStyle w:val="ListBullet"/>
      </w:pPr>
      <w:r>
        <w:t>Wirtschaftsflaeche / Sonst.  ca. 172 qm</w:t>
      </w:r>
    </w:p>
    <w:p>
      <w:pPr>
        <w:jc w:val="left"/>
      </w:pPr>
      <w:r>
        <w:t>Tatsaechliche Nutzung:  ueberwiegend Wohnen mit Gewerbeanteil (Buchbinderei)</w:t>
      </w:r>
    </w:p>
    <w:p>
      <w:pPr>
        <w:jc w:val="left"/>
      </w:pPr>
      <w:r>
        <w:t>LANDWIRTSCHAFTLICHE NUTZUNG: NEIN</w:t>
      </w:r>
    </w:p>
    <w:p>
      <w:pPr>
        <w:jc w:val="left"/>
      </w:pPr>
      <w:r>
        <w:t>```</w:t>
      </w:r>
    </w:p>
    <w:p>
      <w:pPr>
        <w:jc w:val="left"/>
      </w:pPr>
      <w:r>
        <w:t xml:space="preserve">Damit ist amtlich dokumentiert, dass </w:t>
      </w:r>
      <w:r>
        <w:rPr>
          <w:b/>
        </w:rPr>
        <w:t>keine landwirtschaftliche Nutzung</w:t>
      </w:r>
      <w:r>
        <w:t xml:space="preserve"> vorliegt. Diese Auskunft ist Anlage 16 zum Einspruchsschreiben Grundsteuer A.</w:t>
      </w:r>
    </w:p>
    <w:p>
      <w:pPr>
        <w:pStyle w:val="Heading2"/>
      </w:pPr>
      <w:r>
        <w:rPr>
          <w:rFonts w:ascii="Times New Roman" w:hAnsi="Times New Roman"/>
        </w:rPr>
        <w:t>Konsolidierte Strategie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Adressat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Änderungsantrag Wertbescheid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 Trier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14.06.2026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Vorbereitung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Folgeantrag Messbescheid 2024 (im selben Schriftsatz)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 Trier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gleichzeitig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Vorbereitung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Einspruch Grundsteuerbescheid 2025 (jetzt erst entdeckt!)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Stadt Trier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bestandskräftig -- nur Folgeänderung über § 175 AO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Erfolg bei FA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Einspruch Grundsteuerbescheid 2026 (nur Anhang Grundsteuer 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Stadt Trier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15.06.2026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Vorbereitung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Stundungsantrag Quartalsrate Q2 2026 (Grundsteuer 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Stadtkasse Trier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Vorbereitung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AdV-Antrag beim FA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 Trier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gleichzeitig mit Änderungsantrag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Vorbereitung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Folgewirkung der AdV auf Stadt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Stadtkasse Trier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Erfolg AdV beim FA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nachgelagert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Risiken</w:t>
      </w:r>
    </w:p>
    <w:p>
      <w:pPr>
        <w:pStyle w:val="ListNumber"/>
      </w:pPr>
      <w:r>
        <w:t>Wenn der Antrag § 222 BewG beim FA scheitert, ist die Grundsteuer B 2025 und 2026 weiterhin auf dem festgestellten Wert berechnet. Mandantschaft müsste zahlen.</w:t>
      </w:r>
    </w:p>
    <w:p>
      <w:pPr>
        <w:pStyle w:val="ListNumber"/>
      </w:pPr>
      <w:r>
        <w:t>Wenn der Einspruch Grundsteuer A bei der Stadt scheitert, bleibt die 35,42 EUR-Festsetzung -- materiell irrelevant, aber prinzipiell ärgerlich.</w:t>
      </w:r>
    </w:p>
    <w:p>
      <w:pPr>
        <w:pStyle w:val="ListNumber"/>
      </w:pPr>
      <w:r>
        <w:t>Das Auftauchen des Bescheids 2025 zeigt, dass auch noch ältere Bescheide existieren könnten, die wir nicht kennen. Wir bitten die Hausverwaltung, den gesamten Aktenstapel "Steuersachen" zu durchsuchen.</w:t>
      </w:r>
    </w:p>
    <w:p>
      <w:pPr>
        <w:pStyle w:val="Heading2"/>
      </w:pPr>
      <w:r>
        <w:rPr>
          <w:rFonts w:ascii="Times New Roman" w:hAnsi="Times New Roman"/>
        </w:rPr>
        <w:t>Hinweis zur Mandantenkommunikation</w:t>
      </w:r>
    </w:p>
    <w:p>
      <w:pPr>
        <w:jc w:val="left"/>
      </w:pPr>
      <w:r>
        <w:t xml:space="preserve">Im Eigentümerbrief / der Eigentümerversammlung sollte die Verwechslung Grundsteuer A / B als </w:t>
      </w:r>
      <w:r>
        <w:rPr>
          <w:b/>
        </w:rPr>
        <w:t>zusätzliches Argument</w:t>
      </w:r>
      <w:r>
        <w:t xml:space="preserve"> verwendet werden, um den Eigentümer zu zeigen, dass auch die Stadt Fehler macht. Das stärkt die Argumentation insgesamt, ohne den Hauptangriff (Bewertungsfehler beim FA) zu verwässern.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