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01 — Mandatsannahme und Kaufabsicht Rosenmündl</w:t>
      </w:r>
    </w:p>
    <w:p>
      <w:pPr>
        <w:jc w:val="left"/>
      </w:pPr>
      <w:r>
        <w:rPr>
          <w:b/>
        </w:rPr>
        <w:t>Kanzlei Schwingenstein &amp; Partner, Stuttgart</w:t>
      </w:r>
    </w:p>
    <w:p>
      <w:pPr>
        <w:jc w:val="left"/>
      </w:pPr>
      <w:r>
        <w:rPr>
          <w:b/>
        </w:rPr>
        <w:t>Notar und Rechtsanwalt Dr. Bertram Schwingenstein</w:t>
      </w:r>
    </w:p>
    <w:p>
      <w:pPr>
        <w:jc w:val="left"/>
      </w:pPr>
      <w:r>
        <w:t>Aktenzeichen: SW/2026/0188-IMM</w:t>
      </w:r>
    </w:p>
    <w:p>
      <w:pPr>
        <w:jc w:val="left"/>
      </w:pPr>
      <w:r>
        <w:t>Mandatsannahme: 12. Januar 2026</w:t>
      </w:r>
    </w:p>
    <w:p/>
    <w:p>
      <w:pPr>
        <w:pStyle w:val="Heading2"/>
      </w:pPr>
      <w:r>
        <w:rPr>
          <w:rFonts w:ascii="Times New Roman" w:hAnsi="Times New Roman"/>
        </w:rPr>
        <w:t>1. Mandanten</w:t>
      </w:r>
    </w:p>
    <w:p>
      <w:pPr>
        <w:jc w:val="left"/>
      </w:pPr>
      <w:r>
        <w:rPr>
          <w:b/>
        </w:rPr>
        <w:t>Eheleute</w:t>
      </w:r>
    </w:p>
    <w:p>
      <w:pPr>
        <w:pStyle w:val="ListBullet"/>
      </w:pPr>
      <w:r>
        <w:rPr>
          <w:b/>
        </w:rPr>
        <w:t>Dr. med. Berthold Rosenmündl</w:t>
      </w:r>
      <w:r>
        <w:t>, geb. 14.03.1971, niedergelassener Facharzt für Orthopädie, Praxis Königstraße 48, 70173 Stuttgart; StNr. 99/123/45670</w:t>
      </w:r>
    </w:p>
    <w:p>
      <w:pPr>
        <w:pStyle w:val="ListBullet"/>
      </w:pPr>
      <w:r>
        <w:rPr>
          <w:b/>
        </w:rPr>
        <w:t>Dr. rer. nat. Constanze Rosenmündl-Steinbacher</w:t>
      </w:r>
      <w:r>
        <w:t>, geb. 22.07.1974, Leiterin Forschungsabteilung Bosch GmbH, Werk Schillerhöhe; StNr. 99/123/45671</w:t>
      </w:r>
    </w:p>
    <w:p>
      <w:pPr>
        <w:jc w:val="left"/>
      </w:pPr>
      <w:r>
        <w:t>Wohnhaft: Hasenbergsteige 11, 70178 Stuttgart-West; güterrechtlich: Zugewinngemeinschaft (kein Ehevertrag); steuerlich zusammen veranlagt.</w:t>
      </w:r>
    </w:p>
    <w:p>
      <w:pPr>
        <w:jc w:val="left"/>
      </w:pPr>
      <w:r>
        <w:t>Vollmacht erteilt und notariell beglaubigt am 12.01.2026 (UR-Nr. 0022/2026 Notar Schwingenstein).</w:t>
      </w:r>
    </w:p>
    <w:p/>
    <w:p>
      <w:pPr>
        <w:pStyle w:val="Heading2"/>
      </w:pPr>
      <w:r>
        <w:rPr>
          <w:rFonts w:ascii="Times New Roman" w:hAnsi="Times New Roman"/>
        </w:rPr>
        <w:t>2. Kaufabsicht und Anlageziel</w:t>
      </w:r>
    </w:p>
    <w:p>
      <w:pPr>
        <w:jc w:val="left"/>
      </w:pPr>
      <w:r>
        <w:t xml:space="preserve">Die Mandanten verfolgen seit ca. 2022 eine strukturierte Anlageimmobilien-Strategie im Raum Stuttgart. Das vorliegende Objekt, </w:t>
      </w:r>
      <w:r>
        <w:rPr>
          <w:b/>
        </w:rPr>
        <w:t>Talstraße 188, 70188 Stuttgart-Ost</w:t>
      </w:r>
      <w:r>
        <w:t xml:space="preserve"> (Gemarkung Stöckach, Flur 12, Flurstück 4/88), soll als Renditeobjekt erworben und mittel- bis langfristig im Bestand gehalten werden. Mieteinnahmen sollen zur Teilfinanzierung des Erwerbs dienen; eine Umwandlung in Wohnungseigentum (WEG) ist perspektivisch erwogen, aber noch nicht beschlossen.</w:t>
      </w:r>
    </w:p>
    <w:p>
      <w:pPr>
        <w:jc w:val="left"/>
      </w:pPr>
      <w:r>
        <w:rPr>
          <w:b/>
        </w:rPr>
        <w:t>Eckdaten Kaufangebot (Verkäuferseite):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Angabe lt. Exposé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Kaufpreis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4.800.000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Grundstücksfläche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892 m²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Wohnfläche 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780 m²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Wohneinheiten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 (je ca. 80–120 m²)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Baujahr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1928 (Jugendstil-Mehrfamilienhaus)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Denkmalschutz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Teilstellung (Fassade, Treppenhaus)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Ist-Miete netto kalt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4.800 EUR/Monat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Energieausweis-Klasse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 (lt. Exposé)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Grundbuch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Abt. II: keine Belastungen (lt. Exposé)</w:t>
            </w:r>
          </w:p>
        </w:tc>
      </w:tr>
    </w:tbl>
    <w:p>
      <w:pPr>
        <w:jc w:val="left"/>
      </w:pPr>
      <w:r>
        <w:t xml:space="preserve">Verkäufer: </w:t>
      </w:r>
      <w:r>
        <w:rPr>
          <w:b/>
        </w:rPr>
        <w:t>Erbengemeinschaft nach Dr. Volkard Hellmann</w:t>
      </w:r>
      <w:r>
        <w:t xml:space="preserve"> (verstorben 03.11.2025), vertreten durch Miterben laut Erbschein (Az. Nachlassgericht Stuttgart, VI 0212/2025).</w:t>
      </w:r>
    </w:p>
    <w:p/>
    <w:p>
      <w:pPr>
        <w:pStyle w:val="Heading2"/>
      </w:pPr>
      <w:r>
        <w:rPr>
          <w:rFonts w:ascii="Times New Roman" w:hAnsi="Times New Roman"/>
        </w:rPr>
        <w:t>3. Erste rechtliche Risikoübersicht</w:t>
      </w:r>
    </w:p>
    <w:p>
      <w:pPr>
        <w:jc w:val="left"/>
      </w:pPr>
      <w:r>
        <w:t>Bereits im Erstgespräch wurden folgende Prüfungsfelder identifiziert:</w:t>
      </w:r>
    </w:p>
    <w:p>
      <w:pPr>
        <w:pStyle w:val="ListNumber"/>
      </w:pPr>
      <w:r>
        <w:t>Baulasten: Baulastenverzeichnis Amt für Stadtplanung und Wohnen Stuttgart; insbesondere Geh- und Fahrrechtsblastung auf Nachbargrundstück.</w:t>
      </w:r>
    </w:p>
    <w:p>
      <w:pPr>
        <w:pStyle w:val="ListNumber"/>
      </w:pPr>
      <w:r>
        <w:t>Sachmängel: Altbau-Leitungsinfrastruktur (Bleirohre), Feuchtigkeitsschäden Souterrain.</w:t>
      </w:r>
    </w:p>
    <w:p>
      <w:pPr>
        <w:pStyle w:val="ListNumber"/>
      </w:pPr>
      <w:r>
        <w:t>Mietrecht: § 577a BGB-Sperrfrist, Mieterstruktur, Staffel- und Indexmietverträge.</w:t>
      </w:r>
    </w:p>
    <w:p>
      <w:pPr>
        <w:pStyle w:val="ListNumber"/>
      </w:pPr>
      <w:r>
        <w:t>Energieausweis: Plausibilitätsprüfung GEG-konformer Ausweis.</w:t>
      </w:r>
    </w:p>
    <w:p>
      <w:pPr>
        <w:pStyle w:val="ListNumber"/>
      </w:pPr>
      <w:r>
        <w:t>Denkmalschutz: DSchG BW — Auswirkungen auf Modernisierungsvorhaben.</w:t>
      </w:r>
    </w:p>
    <w:p>
      <w:pPr>
        <w:pStyle w:val="ListNumber"/>
      </w:pPr>
      <w:r>
        <w:t>Erbengemeinschaft Verkäufer: §§ 2032 ff. BGB, Vollmacht aller Miterben, Verfügungsrecht.</w:t>
      </w:r>
    </w:p>
    <w:p>
      <w:pPr>
        <w:pStyle w:val="ListNumber"/>
      </w:pPr>
      <w:r>
        <w:t>Grundsteuerreform 2025: Laufende Messbescheide und Klagerisiko.</w:t>
      </w:r>
    </w:p>
    <w:p>
      <w:pPr>
        <w:pStyle w:val="ListNumber"/>
      </w:pPr>
      <w:r>
        <w:t>WEG-Verwaltung: Prüfung Beschlusslage nach WEG-Reform 2020/2024.</w:t>
      </w:r>
    </w:p>
    <w:p/>
    <w:p>
      <w:pPr>
        <w:pStyle w:val="Heading2"/>
      </w:pPr>
      <w:r>
        <w:rPr>
          <w:rFonts w:ascii="Times New Roman" w:hAnsi="Times New Roman"/>
        </w:rPr>
        <w:t>4. Beauftragung und Honorar</w:t>
      </w:r>
    </w:p>
    <w:p>
      <w:pPr>
        <w:jc w:val="left"/>
      </w:pPr>
      <w:r>
        <w:t>Beauftragt werden:</w:t>
      </w:r>
    </w:p>
    <w:p>
      <w:pPr>
        <w:pStyle w:val="ListBullet"/>
      </w:pPr>
      <w:r>
        <w:t>Notar Schwingenstein: Beurkundung Kaufvertrag (gesonderte Notargebührenrechnung nach GNotKG).</w:t>
      </w:r>
    </w:p>
    <w:p>
      <w:pPr>
        <w:pStyle w:val="ListBullet"/>
      </w:pPr>
      <w:r>
        <w:t>RA Schwingenstein: Anwaltliche Begleitung, Due-Diligence-Koordination, Streitvertretung (RVG + Stundenhonorar 380 EUR/Stunde gemäß Mandatsvereinbarung).</w:t>
      </w:r>
    </w:p>
    <w:p>
      <w:pPr>
        <w:jc w:val="left"/>
      </w:pPr>
      <w:r>
        <w:t>Vergütungsvereinbarung unterzeichnet 12.01.2026.</w:t>
      </w:r>
    </w:p>
    <w:p/>
    <w:p>
      <w:pPr>
        <w:pStyle w:val="Heading2"/>
      </w:pPr>
      <w:r>
        <w:rPr>
          <w:rFonts w:ascii="Times New Roman" w:hAnsi="Times New Roman"/>
        </w:rPr>
        <w:t>5. Nächste Schritte</w:t>
      </w:r>
    </w:p>
    <w:p>
      <w:pPr>
        <w:pStyle w:val="ListBullet"/>
      </w:pPr>
      <w:r>
        <w:t>[ ] Grundbuchauszug aktuell anfordern (Grundbuchamt Stuttgart, Abt. I–III).</w:t>
      </w:r>
    </w:p>
    <w:p>
      <w:pPr>
        <w:pStyle w:val="ListBullet"/>
      </w:pPr>
      <w:r>
        <w:t>[ ] Baulastenauskunft beantragen (Amt für Stadtplanung und Wohnen Stuttgart).</w:t>
      </w:r>
    </w:p>
    <w:p>
      <w:pPr>
        <w:pStyle w:val="ListBullet"/>
      </w:pPr>
      <w:r>
        <w:t>[ ] Energieausweis Original vom Makler anfordern.</w:t>
      </w:r>
    </w:p>
    <w:p>
      <w:pPr>
        <w:pStyle w:val="ListBullet"/>
      </w:pPr>
      <w:r>
        <w:t>[ ] Mietverträge aller 8 Einheiten sichten.</w:t>
      </w:r>
    </w:p>
    <w:p>
      <w:pPr>
        <w:pStyle w:val="ListBullet"/>
      </w:pPr>
      <w:r>
        <w:t>[ ] Protokolle WEG-Versammlungen 2020–2025 anfordern.</w:t>
      </w:r>
    </w:p>
    <w:p>
      <w:pPr>
        <w:pStyle w:val="ListBullet"/>
      </w:pPr>
      <w:r>
        <w:t>[ ] Erbschein und Vollmachten Erbengemeinschaft prüfen.</w:t>
      </w:r>
    </w:p>
    <w:p/>
    <w:p>
      <w:pPr>
        <w:jc w:val="left"/>
      </w:pPr>
      <w:r>
        <w:rPr>
          <w:i/>
        </w:rPr>
        <w:t>Bearbeiter: RA/Notar Dr. Bertram Schwingenstein</w:t>
      </w:r>
    </w:p>
    <w:p>
      <w:pPr>
        <w:jc w:val="left"/>
      </w:pPr>
      <w:r>
        <w:rPr>
          <w:i/>
        </w:rPr>
        <w:t>Datum: 12.01.2026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