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03 — Baulast Geh- und Fahrrecht, § 92 LBO BW</w:t>
      </w:r>
    </w:p>
    <w:p>
      <w:pPr>
        <w:jc w:val="left"/>
      </w:pPr>
      <w:r>
        <w:rPr>
          <w:b/>
        </w:rPr>
        <w:t>Aktenzeichen: SW/2026/0188-IMM</w:t>
      </w:r>
    </w:p>
    <w:p>
      <w:pPr>
        <w:jc w:val="left"/>
      </w:pPr>
      <w:r>
        <w:t>Stand: 28. Januar 2026</w:t>
      </w:r>
    </w:p>
    <w:p/>
    <w:p>
      <w:pPr>
        <w:pStyle w:val="Heading2"/>
      </w:pPr>
      <w:r>
        <w:rPr>
          <w:rFonts w:ascii="Times New Roman" w:hAnsi="Times New Roman"/>
        </w:rPr>
        <w:t>1. Sachverhalt</w:t>
      </w:r>
    </w:p>
    <w:p>
      <w:pPr>
        <w:jc w:val="left"/>
      </w:pPr>
      <w:r>
        <w:t xml:space="preserve">Die Baulastenauskunft des Amts für Stadtplanung und Wohnen Stuttgart vom 22.01.2026 (Geschäftszeichen 61.31-BS-4/88) weist für das Grundstück </w:t>
      </w:r>
      <w:r>
        <w:rPr>
          <w:b/>
        </w:rPr>
        <w:t>Talstraße 188</w:t>
      </w:r>
      <w:r>
        <w:t xml:space="preserve"> (Flurstück 4/88, Gemarkung Stöckach) folgende Baulast aus:</w:t>
      </w:r>
    </w:p>
    <w:p>
      <w:pPr>
        <w:jc w:val="left"/>
      </w:pPr>
      <w:r>
        <w:rPr>
          <w:b/>
        </w:rPr>
        <w:t>Geh- und Fahrtrechtsbaulast</w:t>
      </w:r>
      <w:r>
        <w:t xml:space="preserve"> zugunsten des Grundstücks Talstraße 186 (Flurstück 4/87), eingetragen am 17.04.1988, Baulastenverzeichnis Stuttgart, Band 12, Blatt 88, lfd. Nr. 1988-412.</w:t>
      </w:r>
    </w:p>
    <w:p>
      <w:pPr>
        <w:jc w:val="left"/>
      </w:pPr>
      <w:r>
        <w:t>Inhalt der Baulast: Duldung der Benutzung des rückwärtigen Grundstücksbereichs (Fläche 4,5 m × 22 m = 99 m²) als Zufahrtsfläche für Fahrzeuge und als Gehweg, dauerhaft, unentgeltlich.</w:t>
      </w:r>
    </w:p>
    <w:p>
      <w:pPr>
        <w:jc w:val="left"/>
      </w:pPr>
      <w:r>
        <w:t xml:space="preserve">Das Grundbuch Abt. II verweist auf diese Baulast </w:t>
      </w:r>
      <w:r>
        <w:rPr>
          <w:b/>
        </w:rPr>
        <w:t>nicht</w:t>
      </w:r>
      <w:r>
        <w:t>. Der Verkäufer bzw. die Erbengemeinschaft hat die Existenz dieser Baulast im Exposé und in den Verkaufsunterlagen verschwiegen.</w:t>
      </w:r>
    </w:p>
    <w:p/>
    <w:p>
      <w:pPr>
        <w:pStyle w:val="Heading2"/>
      </w:pPr>
      <w:r>
        <w:rPr>
          <w:rFonts w:ascii="Times New Roman" w:hAnsi="Times New Roman"/>
        </w:rPr>
        <w:t>2. Rechtliche Grundlagen</w:t>
      </w:r>
    </w:p>
    <w:p>
      <w:pPr>
        <w:pStyle w:val="Heading3"/>
      </w:pPr>
      <w:r>
        <w:rPr>
          <w:rFonts w:ascii="Times New Roman" w:hAnsi="Times New Roman"/>
        </w:rPr>
        <w:t>§ 92 LBO BW (Baulasten)</w:t>
      </w:r>
    </w:p>
    <w:p>
      <w:pPr>
        <w:jc w:val="left"/>
      </w:pPr>
      <w:r>
        <w:t>Nach § 92 Abs. 1 LBO BW können Grundstückseigentümer durch Erklärung gegenüber der Baurechtsbehörde öffentlich-rechtliche Verpflichtungen zu einem das Grundstück betreffenden Tun, Dulden oder Unterlassen übernehmen, die sich nicht schon aus öffentlich-rechtlichen Vorschriften ergeben (Baulasten). Baulasten entstehen mit der Eintragung im Baulastenverzeichnis und wirken gegen den jeweiligen Eigentümer des belasteten Grundstücks, also auch gegen Rechtsnachfolger.</w:t>
      </w:r>
    </w:p>
    <w:p>
      <w:pPr>
        <w:jc w:val="left"/>
      </w:pPr>
      <w:r>
        <w:t>Quelle: § 92 LBO BW auf landesrecht-bw.de</w:t>
      </w:r>
    </w:p>
    <w:p>
      <w:pPr>
        <w:jc w:val="left"/>
      </w:pPr>
      <w:r>
        <w:t>Baulasten sind nach § 92 Abs. 3 LBO BW im Baulastenverzeichnis einzutragen; sie sind nicht im Grundbuch zu vermerken. Dies führt in der Praxis regelmäßig zu Informationslücken, da das Grundbuch keine vollständige Auskunft über alle öffentlich-rechtlichen Bindungen des Grundstücks gibt.</w:t>
      </w:r>
    </w:p>
    <w:p>
      <w:pPr>
        <w:pStyle w:val="Heading3"/>
      </w:pPr>
      <w:r>
        <w:rPr>
          <w:rFonts w:ascii="Times New Roman" w:hAnsi="Times New Roman"/>
        </w:rPr>
        <w:t>Verhältnis Baulast — privatrechtliche Belastung</w:t>
      </w:r>
    </w:p>
    <w:p>
      <w:pPr>
        <w:jc w:val="left"/>
      </w:pPr>
      <w:r>
        <w:t>Die Baulast ist eine öffentlich-rechtliche Verpflichtung und kein Grundbuchrecht i.S.d. §§ 1018 ff. BGB (Grunddienstbarkeit). Beide Rechtsinstitute können nebeneinander bestehen; ihr Fehlen im Grundbuch beseitigt die öffentlich-rechtliche Bindung nicht.</w:t>
      </w:r>
    </w:p>
    <w:p>
      <w:pPr>
        <w:jc w:val="left"/>
      </w:pPr>
      <w:r>
        <w:rPr>
          <w:b/>
        </w:rPr>
        <w:t>Konsequenz für Käufer:</w:t>
      </w:r>
      <w:r>
        <w:t xml:space="preserve"> Dr. und Dr. Rosenmündl würden als neue Eigentümer automatisch in die Pflichten aus der Baulast eintreten (öffentlich-rechtliche Gesamtrechtsnachfolge bei Eigentumsübergang). Das Geh- und Fahrrecht zugunsten Talstraße 186 ist nicht abzulösen ohne Zustimmung der Baurechtsbehörde und des begünstigten Grundstückseigentümers.</w:t>
      </w:r>
    </w:p>
    <w:p/>
    <w:p>
      <w:pPr>
        <w:pStyle w:val="Heading2"/>
      </w:pPr>
      <w:r>
        <w:rPr>
          <w:rFonts w:ascii="Times New Roman" w:hAnsi="Times New Roman"/>
        </w:rPr>
        <w:t>3. Bewertung des Verschweigens</w:t>
      </w:r>
    </w:p>
    <w:p>
      <w:pPr>
        <w:pStyle w:val="Heading3"/>
      </w:pPr>
      <w:r>
        <w:rPr>
          <w:rFonts w:ascii="Times New Roman" w:hAnsi="Times New Roman"/>
        </w:rPr>
        <w:t>a) Arglistige Täuschung (§ 438 Abs. 3 i.V.m. § 437 Nr. 3 BGB)</w:t>
      </w:r>
    </w:p>
    <w:p>
      <w:pPr>
        <w:jc w:val="left"/>
      </w:pPr>
      <w:r>
        <w:t>Die Erbengemeinschaft nach Hellmann ist als Verkäufer verpflichtet, alle wertrelevanten Umstände des Kaufgegenstands offenzulegen, die dem Käufer nicht ohne Weiteres erkennbar sind und die für dessen Kaufentschluss erheblich sein können. Die Baulast — wirtschaftlich wertmindernd und nutzungseinschränkend (99 m² dauerhafte Zufahrtsfläche im rückwärtigen Bereich) — ist offenbarungspflichtig.</w:t>
      </w:r>
    </w:p>
    <w:p>
      <w:pPr>
        <w:jc w:val="left"/>
      </w:pPr>
      <w:r>
        <w:t>Maßgebliche Norm: § 438 BGB auf dejure.org; § 437 BGB auf dejure.org.</w:t>
      </w:r>
    </w:p>
    <w:p>
      <w:pPr>
        <w:jc w:val="left"/>
      </w:pPr>
      <w:r>
        <w:t>Arglistige Täuschung i.S.d. § 123 BGB setzt Kenntnis des Erblassers oder der Miterben von der Baulast voraus. Indiz: Die Baulast besteht seit 1988 (36 Jahre). Dr. Hellmann war seit 1991 Eigentümer. Hohe Wahrscheinlichkeit der Kenntnis.</w:t>
      </w:r>
    </w:p>
    <w:p>
      <w:pPr>
        <w:jc w:val="left"/>
      </w:pPr>
      <w:r>
        <w:t>Rechtsfolge: § 438 Abs. 3 BGB verlängert die Verjährungsfrist auf zehn Jahre bei Arglist; Anfechtung nach § 123 BGB binnen eines Jahres ab Kenntnis möglich.</w:t>
      </w:r>
    </w:p>
    <w:p>
      <w:pPr>
        <w:pStyle w:val="Heading3"/>
      </w:pPr>
      <w:r>
        <w:rPr>
          <w:rFonts w:ascii="Times New Roman" w:hAnsi="Times New Roman"/>
        </w:rPr>
        <w:t>b) Minderungsrecht (§ 441 BGB)</w:t>
      </w:r>
    </w:p>
    <w:p>
      <w:pPr>
        <w:jc w:val="left"/>
      </w:pPr>
      <w:r>
        <w:t>Alternativ: Minderung des Kaufpreises. Wertansatz für 99 m² dauerhafte Zufahrtsfläche im rückwärtigen Stuttgarter Innenstadtbereich: ca. 80.000–120.000 EUR (vgl. Bodenrichtwert Stuttgart-Ost 2024: ca. 1.400 EUR/m², 60 % Abzug wg. eingeschränkter Nutzbarkeit). Minderungsberechnung vgl. Aktenstück 17.</w:t>
      </w:r>
    </w:p>
    <w:p>
      <w:pPr>
        <w:pStyle w:val="Heading3"/>
      </w:pPr>
      <w:r>
        <w:rPr>
          <w:rFonts w:ascii="Times New Roman" w:hAnsi="Times New Roman"/>
        </w:rPr>
        <w:t>c) Rücktritt (§ 437 Nr. 2 i.V.m. § 326 BGB)</w:t>
      </w:r>
    </w:p>
    <w:p>
      <w:pPr>
        <w:jc w:val="left"/>
      </w:pPr>
      <w:r>
        <w:t>Bei erheblichem Mangel und Nichtbeseitigbarkeit kommt auch Rücktritt in Betracht, sofern Käufer hieran ein berechtigtes Interesse nachweisen. Prüfung, ob Baulast als erheblicher Mangel anzusehen ist: Die 99 m² Zufahrtsfläche entspricht ca. 11 % der Grundstücksfläche (892 m²) und verhindert eine bauliche Erweiterung im rückwärtigen Bereich.</w:t>
      </w:r>
    </w:p>
    <w:p/>
    <w:p>
      <w:pPr>
        <w:pStyle w:val="Heading2"/>
      </w:pPr>
      <w:r>
        <w:rPr>
          <w:rFonts w:ascii="Times New Roman" w:hAnsi="Times New Roman"/>
        </w:rPr>
        <w:t>4. Eintragungspflicht und Vollzug (§ 92 LBO BW)</w:t>
      </w:r>
    </w:p>
    <w:p>
      <w:pPr>
        <w:jc w:val="left"/>
      </w:pPr>
      <w:r>
        <w:t>Fraglich ist, ob der Voreigentümer (Hellmann) als Baulastübernehmer seinerzeit eine Mitteilungspflicht gegenüber der Stadt hatte, die er verletzt haben könnte. Die Baulast ist bereits eingetragen; es fehlt nur die Transparenz gegenüber dem Käufer.</w:t>
      </w:r>
    </w:p>
    <w:p>
      <w:pPr>
        <w:jc w:val="left"/>
      </w:pPr>
      <w:r>
        <w:rPr>
          <w:b/>
        </w:rPr>
        <w:t>Handlungsempfehlung:</w:t>
      </w:r>
      <w:r>
        <w:t xml:space="preserve"> Käufer sollten vor Beurkundung des Kaufvertrags eine schriftliche Bestätigung verlangen, dass alle im Baulastenverzeichnis eingetragenen Baulasten vollständig offengelegt wurden. Alternativ: Rücktrittsklausel im Kaufvertrag für den Fall nachträglich entdeckter Baulasten.</w:t>
      </w:r>
    </w:p>
    <w:p/>
    <w:p>
      <w:pPr>
        <w:pStyle w:val="Heading2"/>
      </w:pPr>
      <w:r>
        <w:rPr>
          <w:rFonts w:ascii="Times New Roman" w:hAnsi="Times New Roman"/>
        </w:rPr>
        <w:t>5. Mahnschreiben</w:t>
      </w:r>
    </w:p>
    <w:p>
      <w:pPr>
        <w:jc w:val="left"/>
      </w:pPr>
      <w:r>
        <w:t xml:space="preserve">Mahnung an die Erbengemeinschaft wegen unterlassener Offenbarung der Baulast mit Fristsetzung zur Stellungnahme bis 10.02.2026. Entwurf vgl. </w:t>
      </w:r>
      <w:r>
        <w:t>docx/mahnung_baulast_eintragung_lk_stuttgart.docx</w:t>
      </w:r>
      <w:r>
        <w:t>.</w:t>
      </w:r>
    </w:p>
    <w:p/>
    <w:p>
      <w:pPr>
        <w:pStyle w:val="Heading2"/>
      </w:pPr>
      <w:r>
        <w:rPr>
          <w:rFonts w:ascii="Times New Roman" w:hAnsi="Times New Roman"/>
        </w:rPr>
        <w:t>Quellen</w:t>
      </w:r>
    </w:p>
    <w:p>
      <w:pPr>
        <w:pStyle w:val="ListBullet"/>
      </w:pPr>
      <w:r>
        <w:t>§ 92 LBO BW — Landesrecht Baden-Württemberg</w:t>
      </w:r>
    </w:p>
    <w:p>
      <w:pPr>
        <w:pStyle w:val="ListBullet"/>
      </w:pPr>
      <w:r>
        <w:t>§ 437 BGB — dejure.org</w:t>
      </w:r>
    </w:p>
    <w:p>
      <w:pPr>
        <w:pStyle w:val="ListBullet"/>
      </w:pPr>
      <w:r>
        <w:t>§ 438 BGB — dejure.org</w:t>
      </w:r>
    </w:p>
    <w:p>
      <w:pPr>
        <w:pStyle w:val="ListBullet"/>
      </w:pPr>
      <w:r>
        <w:t>§ 123 BGB — dejure.org</w:t>
      </w:r>
    </w:p>
    <w:p>
      <w:pPr>
        <w:pStyle w:val="ListBullet"/>
      </w:pPr>
      <w:r>
        <w:t>§ 441 BGB — dejure.org</w:t>
      </w:r>
    </w:p>
    <w:p>
      <w:pPr>
        <w:pStyle w:val="ListBullet"/>
      </w:pPr>
      <w:r>
        <w:t>BGH, Urt. v. 16.03.2012 — V ZR 18/11, zu Offenbarungspflichten beim Grundstückskauf</w:t>
      </w:r>
    </w:p>
    <w:p/>
    <w:p>
      <w:pPr>
        <w:jc w:val="left"/>
      </w:pPr>
      <w:r>
        <w:rPr>
          <w:i/>
        </w:rPr>
        <w:t>Bearbeiter: RA/Notar Dr. Bertram Schwingenstein</w:t>
      </w:r>
    </w:p>
    <w:p>
      <w:pPr>
        <w:jc w:val="left"/>
      </w:pPr>
      <w:r>
        <w:rPr>
          <w:i/>
        </w:rPr>
        <w:t>Datum: 28.01.2026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