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04 — Sachmangel Bleirohre, § 437 BGB / § 313 BGB Prüfung</w:t>
      </w:r>
    </w:p>
    <w:p>
      <w:pPr>
        <w:jc w:val="left"/>
      </w:pPr>
      <w:r>
        <w:rPr>
          <w:b/>
        </w:rPr>
        <w:t>Aktenzeichen: SW/2026/0188-IMM</w:t>
      </w:r>
    </w:p>
    <w:p>
      <w:pPr>
        <w:jc w:val="left"/>
      </w:pPr>
      <w:r>
        <w:t>Stand: 05. Februar 2026</w:t>
      </w:r>
    </w:p>
    <w:p/>
    <w:p>
      <w:pPr>
        <w:pStyle w:val="Heading2"/>
      </w:pPr>
      <w:r>
        <w:rPr>
          <w:rFonts w:ascii="Times New Roman" w:hAnsi="Times New Roman"/>
        </w:rPr>
        <w:t>1. Befund</w:t>
      </w:r>
    </w:p>
    <w:p>
      <w:pPr>
        <w:jc w:val="left"/>
      </w:pPr>
      <w:r>
        <w:t xml:space="preserve">Im Zuge der technischen Due Diligence durch den beauftragten Sachverständigen Dipl.-Ing. Klaus Habermeier (SV-Büro Habermeier, Stuttgart-Feuerbach) wurden bei der Ortsbegehung am 02.02.2026 im Kellergeschoss und in den Steigleitungen der Wohneinheiten 1, 3, 5 und 7 (OG links jeweils) </w:t>
      </w:r>
      <w:r>
        <w:rPr>
          <w:b/>
        </w:rPr>
        <w:t>Bleirohre als Trinkwasserversorgungsleitungen</w:t>
      </w:r>
      <w:r>
        <w:t xml:space="preserve"> festgestellt.</w:t>
      </w:r>
    </w:p>
    <w:p>
      <w:pPr>
        <w:jc w:val="left"/>
      </w:pPr>
      <w:r>
        <w:t>Rohrdurchmesser: DN 12–25 (Kalt- und Warmwasserleitungen).</w:t>
      </w:r>
    </w:p>
    <w:p>
      <w:pPr>
        <w:jc w:val="left"/>
      </w:pPr>
      <w:r>
        <w:t>Zustand: stark korrodiert, Innenwandablagerungen, ein Rohr weist Haarriss auf (WE 3, Keller).</w:t>
      </w:r>
    </w:p>
    <w:p>
      <w:pPr>
        <w:jc w:val="left"/>
      </w:pPr>
      <w:r>
        <w:t xml:space="preserve">Sachverständigengutachten SV Habermeier, vorläufiger Befundbericht vom 04.02.2026: Bleirohre entsprechen nicht mehr den Anforderungen der Trinkwasserverordnung (TrinkwV 2001, neugefasst 2023); Grenzwert Blei im Trinkwasser: 0,010 mg/l (§ 6 TrinkwV, Anlage 2). Erneuerung sämtlicher Leitungen in den betroffenen Einheiten zwingend erforderlich; geschätzte Sanierungskosten: </w:t>
      </w:r>
      <w:r>
        <w:rPr>
          <w:b/>
        </w:rPr>
        <w:t>85.000–120.000 EUR</w:t>
      </w:r>
      <w:r>
        <w:t xml:space="preserve"> (Schätzung SV Habermeier).</w:t>
      </w:r>
    </w:p>
    <w:p/>
    <w:p>
      <w:pPr>
        <w:pStyle w:val="Heading2"/>
      </w:pPr>
      <w:r>
        <w:rPr>
          <w:rFonts w:ascii="Times New Roman" w:hAnsi="Times New Roman"/>
        </w:rPr>
        <w:t>2. Rechtliche Bewertung</w:t>
      </w:r>
    </w:p>
    <w:p>
      <w:pPr>
        <w:pStyle w:val="Heading3"/>
      </w:pPr>
      <w:r>
        <w:rPr>
          <w:rFonts w:ascii="Times New Roman" w:hAnsi="Times New Roman"/>
        </w:rPr>
        <w:t>a) Sachmangel gemäß § 434 BGB</w:t>
      </w:r>
    </w:p>
    <w:p>
      <w:pPr>
        <w:jc w:val="left"/>
      </w:pPr>
      <w:r>
        <w:t>Das Kaufobjekt weist einen Sachmangel auf, weil es nicht die vereinbarte Beschaffenheit hat (§ 434 Abs. 1 S. 1 BGB). Zumindest ist die für den nach dem Vertrag vorausgesetzten Verwendungszweck (Wohnvermietung) notwendige Eignung nicht gegeben (§ 434 Abs. 2 S. 1 Nr. 2 BGB), da die Vermietung von Wohnraum mit gesundheitsschädlichen Bleileitungen zivilrechtlich und öffentlich-rechtlich erhebliche Risiken birgt.</w:t>
      </w:r>
    </w:p>
    <w:p>
      <w:pPr>
        <w:jc w:val="left"/>
      </w:pPr>
      <w:r>
        <w:t>Quelle: § 434 BGB auf dejure.org.</w:t>
      </w:r>
    </w:p>
    <w:p>
      <w:pPr>
        <w:jc w:val="left"/>
      </w:pPr>
      <w:r>
        <w:t>Das Exposé beschreibt das Objekt als geeignete Anlageimmobilie in gutem Zustand; ein ausdrücklicher Gewährleistungsausschluss für verdeckte Mängel wirkt nach ständiger BGH-Rechtsprechung nicht gegenüber arglistig verschwiegenen Mängeln (BGH, Urt. v. 27.11.1998 — V ZR 344/97).</w:t>
      </w:r>
    </w:p>
    <w:p>
      <w:pPr>
        <w:jc w:val="left"/>
      </w:pPr>
      <w:r>
        <w:t>Relevante Normen: § 437 BGB auf dejure.org; § 441 BGB auf dejure.org.</w:t>
      </w:r>
    </w:p>
    <w:p>
      <w:pPr>
        <w:pStyle w:val="Heading3"/>
      </w:pPr>
      <w:r>
        <w:rPr>
          <w:rFonts w:ascii="Times New Roman" w:hAnsi="Times New Roman"/>
        </w:rPr>
        <w:t>b) Arglist</w:t>
      </w:r>
    </w:p>
    <w:p>
      <w:pPr>
        <w:jc w:val="left"/>
      </w:pPr>
      <w:r>
        <w:t>Indizien für Arglist der Erbengemeinschaft (§ 444 BGB): Die Bleirohre in den Steigleitungen sind auch für einen Laien nach Öffnung der Revisionsklappen erkennbar (bleigrau, typische Optik). Ob Erblasser Hellmann oder die Miterben Kenntnis hatten, ist zu ermitteln. Schriftliche Anfrage an die Erbengemeinschaft bzgl. Kenntnis der Leitungssituation wurde am 05.02.2026 versandt.</w:t>
      </w:r>
    </w:p>
    <w:p>
      <w:pPr>
        <w:pStyle w:val="Heading3"/>
      </w:pPr>
      <w:r>
        <w:rPr>
          <w:rFonts w:ascii="Times New Roman" w:hAnsi="Times New Roman"/>
        </w:rPr>
        <w:t>c) Wegfall der Geschäftsgrundlage (§ 313 BGB)</w:t>
      </w:r>
    </w:p>
    <w:p>
      <w:pPr>
        <w:jc w:val="left"/>
      </w:pPr>
      <w:r>
        <w:t>Sollte bereits ein (Vor-)Vertrag oder Einigung über wesentliche Kaufvertragsbedingungen vorliegen und es stellt sich nachträglich heraus, dass die Grundlage — beschaffenheitskonformes Gebäude ohne gesundheitsgefährdende Leitungen — weggefallen ist, kann § 313 BGB greifen. Anpassung des Kaufpreises oder Auflösung des Vorvertrags.</w:t>
      </w:r>
    </w:p>
    <w:p>
      <w:pPr>
        <w:jc w:val="left"/>
      </w:pPr>
      <w:r>
        <w:t>Quelle: § 313 BGB auf dejure.org.</w:t>
      </w:r>
    </w:p>
    <w:p>
      <w:pPr>
        <w:jc w:val="left"/>
      </w:pPr>
      <w:r>
        <w:t>In der vorliegenden Situation ist mangels beurkundetem Kaufvertrag (Beurkundung noch offen) § 313 BGB derzeit nicht unmittelbar einschlägig; die Norm kann aber bei bereits erteiltem notariellem Kaufangebot relevant werden.</w:t>
      </w:r>
    </w:p>
    <w:p>
      <w:pPr>
        <w:pStyle w:val="Heading3"/>
      </w:pPr>
      <w:r>
        <w:rPr>
          <w:rFonts w:ascii="Times New Roman" w:hAnsi="Times New Roman"/>
        </w:rPr>
        <w:t>d) Mängelrechte (§ 437 BGB)</w:t>
      </w:r>
    </w:p>
    <w:p>
      <w:pPr>
        <w:jc w:val="left"/>
      </w:pPr>
      <w:r>
        <w:t>Wählbar sind nach Vollzug des Kaufvertrags: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Recht</w:t>
            </w:r>
          </w:p>
        </w:tc>
        <w:tc>
          <w:tcPr>
            <w:tcW w:type="dxa" w:w="3024"/>
          </w:tcPr>
          <w:p>
            <w:r>
              <w:rPr>
                <w:rFonts w:ascii="Times New Roman" w:hAnsi="Times New Roman"/>
                <w:b/>
                <w:sz w:val="20"/>
              </w:rPr>
              <w:t>Rechtsgrundlage</w:t>
            </w:r>
          </w:p>
        </w:tc>
        <w:tc>
          <w:tcPr>
            <w:tcW w:type="dxa" w:w="3024"/>
          </w:tcPr>
          <w:p>
            <w:r>
              <w:rPr>
                <w:rFonts w:ascii="Times New Roman" w:hAnsi="Times New Roman"/>
                <w:b/>
                <w:sz w:val="20"/>
              </w:rPr>
              <w:t>Voraussetzung</w:t>
            </w:r>
          </w:p>
        </w:tc>
      </w:tr>
      <w:tr>
        <w:tc>
          <w:tcPr>
            <w:tcW w:type="dxa" w:w="3024"/>
          </w:tcPr>
          <w:p>
            <w:r>
              <w:rPr>
                <w:rFonts w:ascii="Times New Roman" w:hAnsi="Times New Roman"/>
                <w:sz w:val="20"/>
              </w:rPr>
              <w:t>Nacherfüllung (Mangelbeseitigung)</w:t>
            </w:r>
          </w:p>
        </w:tc>
        <w:tc>
          <w:tcPr>
            <w:tcW w:type="dxa" w:w="3024"/>
          </w:tcPr>
          <w:p>
            <w:r>
              <w:rPr>
                <w:rFonts w:ascii="Times New Roman" w:hAnsi="Times New Roman"/>
                <w:sz w:val="20"/>
              </w:rPr>
              <w:t>§ 437 Nr. 1 i.V.m. § 439 BGB</w:t>
            </w:r>
          </w:p>
        </w:tc>
        <w:tc>
          <w:tcPr>
            <w:tcW w:type="dxa" w:w="3024"/>
          </w:tcPr>
          <w:p>
            <w:r>
              <w:rPr>
                <w:rFonts w:ascii="Times New Roman" w:hAnsi="Times New Roman"/>
                <w:sz w:val="20"/>
              </w:rPr>
              <w:t>Angemessene Frist</w:t>
            </w:r>
          </w:p>
        </w:tc>
      </w:tr>
      <w:tr>
        <w:tc>
          <w:tcPr>
            <w:tcW w:type="dxa" w:w="3024"/>
          </w:tcPr>
          <w:p>
            <w:r>
              <w:rPr>
                <w:rFonts w:ascii="Times New Roman" w:hAnsi="Times New Roman"/>
                <w:sz w:val="20"/>
              </w:rPr>
              <w:t>Minderung</w:t>
            </w:r>
          </w:p>
        </w:tc>
        <w:tc>
          <w:tcPr>
            <w:tcW w:type="dxa" w:w="3024"/>
          </w:tcPr>
          <w:p>
            <w:r>
              <w:rPr>
                <w:rFonts w:ascii="Times New Roman" w:hAnsi="Times New Roman"/>
                <w:sz w:val="20"/>
              </w:rPr>
              <w:t>§ 437 Nr. 2 i.V.m. § 441 BGB</w:t>
            </w:r>
          </w:p>
        </w:tc>
        <w:tc>
          <w:tcPr>
            <w:tcW w:type="dxa" w:w="3024"/>
          </w:tcPr>
          <w:p>
            <w:r>
              <w:rPr>
                <w:rFonts w:ascii="Times New Roman" w:hAnsi="Times New Roman"/>
                <w:sz w:val="20"/>
              </w:rPr>
              <w:t>Fristablauf oder Unzumutbarkeit</w:t>
            </w:r>
          </w:p>
        </w:tc>
      </w:tr>
      <w:tr>
        <w:tc>
          <w:tcPr>
            <w:tcW w:type="dxa" w:w="3024"/>
          </w:tcPr>
          <w:p>
            <w:r>
              <w:rPr>
                <w:rFonts w:ascii="Times New Roman" w:hAnsi="Times New Roman"/>
                <w:sz w:val="20"/>
              </w:rPr>
              <w:t>Rücktritt</w:t>
            </w:r>
          </w:p>
        </w:tc>
        <w:tc>
          <w:tcPr>
            <w:tcW w:type="dxa" w:w="3024"/>
          </w:tcPr>
          <w:p>
            <w:r>
              <w:rPr>
                <w:rFonts w:ascii="Times New Roman" w:hAnsi="Times New Roman"/>
                <w:sz w:val="20"/>
              </w:rPr>
              <w:t>§ 437 Nr. 2 i.V.m. § 323 BGB</w:t>
            </w:r>
          </w:p>
        </w:tc>
        <w:tc>
          <w:tcPr>
            <w:tcW w:type="dxa" w:w="3024"/>
          </w:tcPr>
          <w:p>
            <w:r>
              <w:rPr>
                <w:rFonts w:ascii="Times New Roman" w:hAnsi="Times New Roman"/>
                <w:sz w:val="20"/>
              </w:rPr>
              <w:t>Erheblicher Mangel</w:t>
            </w:r>
          </w:p>
        </w:tc>
      </w:tr>
      <w:tr>
        <w:tc>
          <w:tcPr>
            <w:tcW w:type="dxa" w:w="3024"/>
          </w:tcPr>
          <w:p>
            <w:r>
              <w:rPr>
                <w:rFonts w:ascii="Times New Roman" w:hAnsi="Times New Roman"/>
                <w:sz w:val="20"/>
              </w:rPr>
              <w:t>Schadensersatz</w:t>
            </w:r>
          </w:p>
        </w:tc>
        <w:tc>
          <w:tcPr>
            <w:tcW w:type="dxa" w:w="3024"/>
          </w:tcPr>
          <w:p>
            <w:r>
              <w:rPr>
                <w:rFonts w:ascii="Times New Roman" w:hAnsi="Times New Roman"/>
                <w:sz w:val="20"/>
              </w:rPr>
              <w:t>§ 437 Nr. 3 i.V.m. §§ 280, 281 BGB</w:t>
            </w:r>
          </w:p>
        </w:tc>
        <w:tc>
          <w:tcPr>
            <w:tcW w:type="dxa" w:w="3024"/>
          </w:tcPr>
          <w:p>
            <w:r>
              <w:rPr>
                <w:rFonts w:ascii="Times New Roman" w:hAnsi="Times New Roman"/>
                <w:sz w:val="20"/>
              </w:rPr>
              <w:t>Vertretenmüssen</w:t>
            </w:r>
          </w:p>
        </w:tc>
      </w:tr>
    </w:tbl>
    <w:p/>
    <w:p>
      <w:pPr>
        <w:pStyle w:val="Heading2"/>
      </w:pPr>
      <w:r>
        <w:rPr>
          <w:rFonts w:ascii="Times New Roman" w:hAnsi="Times New Roman"/>
        </w:rPr>
        <w:t>3. Wirtschaftliche Konsequenzen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Sanierungskosten Leitungen (Habermeier-Schätzung Mittelwert)</w:t>
            </w:r>
          </w:p>
        </w:tc>
        <w:tc>
          <w:tcPr>
            <w:tcW w:type="dxa" w:w="4536"/>
          </w:tcPr>
          <w:p>
            <w:r>
              <w:rPr>
                <w:rFonts w:ascii="Times New Roman" w:hAnsi="Times New Roman"/>
                <w:sz w:val="20"/>
              </w:rPr>
              <w:t>102.500</w:t>
            </w:r>
          </w:p>
        </w:tc>
      </w:tr>
      <w:tr>
        <w:tc>
          <w:tcPr>
            <w:tcW w:type="dxa" w:w="4536"/>
          </w:tcPr>
          <w:p>
            <w:r>
              <w:rPr>
                <w:rFonts w:ascii="Times New Roman" w:hAnsi="Times New Roman"/>
                <w:sz w:val="20"/>
              </w:rPr>
              <w:t>Mietausfall Sanierungszeit (ca. 4 Monate, 4 WE)</w:t>
            </w:r>
          </w:p>
        </w:tc>
        <w:tc>
          <w:tcPr>
            <w:tcW w:type="dxa" w:w="4536"/>
          </w:tcPr>
          <w:p>
            <w:r>
              <w:rPr>
                <w:rFonts w:ascii="Times New Roman" w:hAnsi="Times New Roman"/>
                <w:sz w:val="20"/>
              </w:rPr>
              <w:t>19.200</w:t>
            </w:r>
          </w:p>
        </w:tc>
      </w:tr>
      <w:tr>
        <w:tc>
          <w:tcPr>
            <w:tcW w:type="dxa" w:w="4536"/>
          </w:tcPr>
          <w:p>
            <w:r>
              <w:rPr>
                <w:rFonts w:ascii="Times New Roman" w:hAnsi="Times New Roman"/>
                <w:sz w:val="20"/>
              </w:rPr>
              <w:t>Nachweisführungskosten SV</w:t>
            </w:r>
          </w:p>
        </w:tc>
        <w:tc>
          <w:tcPr>
            <w:tcW w:type="dxa" w:w="4536"/>
          </w:tcPr>
          <w:p>
            <w:r>
              <w:rPr>
                <w:rFonts w:ascii="Times New Roman" w:hAnsi="Times New Roman"/>
                <w:sz w:val="20"/>
              </w:rPr>
              <w:t>4.800</w:t>
            </w:r>
          </w:p>
        </w:tc>
      </w:tr>
      <w:tr>
        <w:tc>
          <w:tcPr>
            <w:tcW w:type="dxa" w:w="4536"/>
          </w:tcPr>
          <w:p>
            <w:r>
              <w:rPr>
                <w:rFonts w:ascii="Times New Roman" w:hAnsi="Times New Roman"/>
                <w:b/>
                <w:sz w:val="20"/>
              </w:rPr>
              <w:t>Gesamtschaden</w:t>
            </w:r>
          </w:p>
        </w:tc>
        <w:tc>
          <w:tcPr>
            <w:tcW w:type="dxa" w:w="4536"/>
          </w:tcPr>
          <w:p>
            <w:r>
              <w:rPr>
                <w:rFonts w:ascii="Times New Roman" w:hAnsi="Times New Roman"/>
                <w:b/>
                <w:sz w:val="20"/>
              </w:rPr>
              <w:t>126.500</w:t>
            </w:r>
          </w:p>
        </w:tc>
      </w:tr>
    </w:tbl>
    <w:p>
      <w:pPr>
        <w:jc w:val="left"/>
      </w:pPr>
      <w:r>
        <w:t xml:space="preserve">Zu berücksichtigen: Wertminderung des Gebäudes bis zur Sanierung für etwaige Minderungsberechnung nach § 441 BGB. Minderungsquote je nach Anteil betroffener Einheiten: 50 % der Wohnfläche betroffen (WE 1, 3, 5, 7 von gesamt 8). Vgl. </w:t>
      </w:r>
      <w:r>
        <w:t>xlsx/minderungsberechnung_par441_bgb.xlsx</w:t>
      </w:r>
      <w:r>
        <w:t>.</w:t>
      </w:r>
    </w:p>
    <w:p/>
    <w:p>
      <w:pPr>
        <w:pStyle w:val="Heading2"/>
      </w:pPr>
      <w:r>
        <w:rPr>
          <w:rFonts w:ascii="Times New Roman" w:hAnsi="Times New Roman"/>
        </w:rPr>
        <w:t>4. Strategie</w:t>
      </w:r>
    </w:p>
    <w:p>
      <w:pPr>
        <w:pStyle w:val="ListNumber"/>
      </w:pPr>
      <w:r>
        <w:t>Notariellen Kaufvertrag noch nicht beurkunden, bis Sachmangellage vollständig aufgeklärt.</w:t>
      </w:r>
    </w:p>
    <w:p>
      <w:pPr>
        <w:pStyle w:val="ListNumber"/>
      </w:pPr>
      <w:r>
        <w:t>Kaufpreis-Nachverhandlung mit Erbengemeinschaft: Senkung um min. 126.500 EUR.</w:t>
      </w:r>
    </w:p>
    <w:p>
      <w:pPr>
        <w:pStyle w:val="ListNumber"/>
      </w:pPr>
      <w:r>
        <w:t>Aufnahme einer Sanierungspflicht-Klausel oder eines Rücktrittsrechts in den Kaufvertrag.</w:t>
      </w:r>
    </w:p>
    <w:p>
      <w:pPr>
        <w:pStyle w:val="ListNumber"/>
      </w:pPr>
      <w:r>
        <w:t>Hilfsweise: Klage auf Minderung nach Vollzug.</w:t>
      </w:r>
    </w:p>
    <w:p/>
    <w:p>
      <w:pPr>
        <w:pStyle w:val="Heading2"/>
      </w:pPr>
      <w:r>
        <w:rPr>
          <w:rFonts w:ascii="Times New Roman" w:hAnsi="Times New Roman"/>
        </w:rPr>
        <w:t>Quellen</w:t>
      </w:r>
    </w:p>
    <w:p>
      <w:pPr>
        <w:pStyle w:val="ListBullet"/>
      </w:pPr>
      <w:r>
        <w:t>§ 434 BGB — dejure.org</w:t>
      </w:r>
    </w:p>
    <w:p>
      <w:pPr>
        <w:pStyle w:val="ListBullet"/>
      </w:pPr>
      <w:r>
        <w:t>§ 437 BGB — dejure.org</w:t>
      </w:r>
    </w:p>
    <w:p>
      <w:pPr>
        <w:pStyle w:val="ListBullet"/>
      </w:pPr>
      <w:r>
        <w:t>§ 441 BGB — dejure.org</w:t>
      </w:r>
    </w:p>
    <w:p>
      <w:pPr>
        <w:pStyle w:val="ListBullet"/>
      </w:pPr>
      <w:r>
        <w:t>§ 444 BGB — dejure.org</w:t>
      </w:r>
    </w:p>
    <w:p>
      <w:pPr>
        <w:pStyle w:val="ListBullet"/>
      </w:pPr>
      <w:r>
        <w:t>§ 313 BGB — dejure.org</w:t>
      </w:r>
    </w:p>
    <w:p>
      <w:pPr>
        <w:pStyle w:val="ListBullet"/>
      </w:pPr>
      <w:r>
        <w:t>BGH, Urt. v. 27.11.1998 — V ZR 344/97 — bundesgerichtshof.de</w:t>
      </w:r>
    </w:p>
    <w:p/>
    <w:p>
      <w:pPr>
        <w:jc w:val="left"/>
      </w:pPr>
      <w:r>
        <w:rPr>
          <w:i/>
        </w:rPr>
        <w:t>Bearbeiter: RA/Notar Dr. Bertram Schwingenstein</w:t>
      </w:r>
    </w:p>
    <w:p>
      <w:pPr>
        <w:jc w:val="left"/>
      </w:pPr>
      <w:r>
        <w:rPr>
          <w:i/>
        </w:rPr>
        <w:t>Datum: 05.02.2026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