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Sonderkündigungsrecht § 577a BGB, Aushebelung durch Voreigentümer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10. Februar 2026</w:t>
      </w:r>
    </w:p>
    <w:p/>
    <w:p>
      <w:pPr>
        <w:pStyle w:val="Heading2"/>
      </w:pPr>
      <w:r>
        <w:rPr>
          <w:rFonts w:ascii="Times New Roman" w:hAnsi="Times New Roman"/>
        </w:rPr>
        <w:t>1. Sachverhalt</w:t>
      </w:r>
    </w:p>
    <w:p>
      <w:pPr>
        <w:jc w:val="left"/>
      </w:pPr>
      <w:r>
        <w:t>Die Sichtung der acht Mietverträge (Mietverträge datieren zwischen 2008 und 2024) ergab, dass Erblasser Dr. Volkard Hellmann kurz vor seinem Tod am 03.11.2025 einen formal widersprüchlichen Rechtsakt vorgenommen hat:</w:t>
      </w:r>
    </w:p>
    <w:p>
      <w:pPr>
        <w:jc w:val="left"/>
      </w:pPr>
      <w:r>
        <w:rPr>
          <w:b/>
        </w:rPr>
        <w:t>Mit notarieller Urkunde vom 18.09.2025</w:t>
      </w:r>
      <w:r>
        <w:t xml:space="preserve"> (UR-Nr. 2811/2025 Notar Friedrich Breitenbach, Stuttgart) ließ Dr. Hellmann sämtliche acht Mietwohnungen in Wohnungseigentum umwandeln und eine Teilungserklärung gem. § 8 WEG eintragen — jedoch wurde die Umwandlung im Grundbuch noch nicht vollzogen (Eintragungsantrag beim Grundbuchamt am 22.09.2025 gestellt; Grundbuchamt hat mitgeteilt, dass die Eintragung mangels vollständiger Unterlagen noch aussteht).</w:t>
      </w:r>
    </w:p>
    <w:p>
      <w:pPr>
        <w:jc w:val="left"/>
      </w:pPr>
      <w:r>
        <w:t>Hintergrund: Durch die Umwandlung wollte Dr. Hellmann — oder seine Erben im Rahmen der Planung — nach § 577a BGB eine Sperrfrist für den Eigenbedarfskündigungsschutz der Mieter auslösen bzw. umgehen. Die Sperrfrist nach § 577a Abs. 1 BGB gilt nicht für denjenigen, der die Wohnung bereits als Mieter bewohnt, wenn er sie kauft; sie gilt aber für einen neuen Käufer gegenüber anderen Mietern.</w:t>
      </w:r>
    </w:p>
    <w:p/>
    <w:p>
      <w:pPr>
        <w:pStyle w:val="Heading2"/>
      </w:pPr>
      <w:r>
        <w:rPr>
          <w:rFonts w:ascii="Times New Roman" w:hAnsi="Times New Roman"/>
        </w:rPr>
        <w:t>2. Rechtliche Analyse</w:t>
      </w:r>
    </w:p>
    <w:p>
      <w:pPr>
        <w:pStyle w:val="Heading3"/>
      </w:pPr>
      <w:r>
        <w:rPr>
          <w:rFonts w:ascii="Times New Roman" w:hAnsi="Times New Roman"/>
        </w:rPr>
        <w:t>§ 577a BGB — Kündigungssperrfrist nach Umwandlung</w:t>
      </w:r>
    </w:p>
    <w:p>
      <w:pPr>
        <w:jc w:val="left"/>
      </w:pPr>
      <w:r>
        <w:t>§ 577a BGB auf dejure.org</w:t>
      </w:r>
    </w:p>
    <w:p>
      <w:pPr>
        <w:jc w:val="left"/>
      </w:pPr>
      <w:r>
        <w:t xml:space="preserve">§ 577a Abs. 1 BGB: Ist an vermieteten Wohnräumen nach der Überlassung an den Mieter Wohnungseigentum begründet und das Wohnungseigentum veräußert worden, so kann sich ein Erwerber auf berechtigte Interessen i.S.d. § 573 Abs. 2 Nr. 2 und 3 BGB (Eigenbedarf, wirtschaftliche Verwertung) erst nach Ablauf von </w:t>
      </w:r>
      <w:r>
        <w:rPr>
          <w:b/>
        </w:rPr>
        <w:t>drei Jahren</w:t>
      </w:r>
      <w:r>
        <w:t xml:space="preserve"> berufen.</w:t>
      </w:r>
    </w:p>
    <w:p>
      <w:pPr>
        <w:jc w:val="left"/>
      </w:pPr>
      <w:r>
        <w:t xml:space="preserve">Nach § 577a Abs. 2 BGB kann die Landesregierung durch Rechtsverordnung die Frist für Gebiete mit Wohnraummangel auf bis zu </w:t>
      </w:r>
      <w:r>
        <w:rPr>
          <w:b/>
        </w:rPr>
        <w:t>zehn Jahre</w:t>
      </w:r>
      <w:r>
        <w:t xml:space="preserve"> verlängern. In Baden-Württemberg ist dies durch die Kündigungssperrfristverordnung (KüSchFristVO BW) für Stuttgart auf </w:t>
      </w:r>
      <w:r>
        <w:rPr>
          <w:b/>
        </w:rPr>
        <w:t>zehn Jahre</w:t>
      </w:r>
      <w:r>
        <w:t xml:space="preserve"> verlängert.</w:t>
      </w:r>
    </w:p>
    <w:p>
      <w:pPr>
        <w:jc w:val="left"/>
      </w:pPr>
      <w:r>
        <w:rPr>
          <w:b/>
        </w:rPr>
        <w:t>Problem:</w:t>
      </w:r>
      <w:r>
        <w:t xml:space="preserve"> Die Umwandlung durch Dr. Hellmann hat die Sperrfrist ausgelöst; die Mieter der Talstraße 188 genießen daher nach § 577a BGB einen Eigenbedarfsschutz von zehn Jahren.</w:t>
      </w:r>
    </w:p>
    <w:p>
      <w:pPr>
        <w:pStyle w:val="Heading3"/>
      </w:pPr>
      <w:r>
        <w:rPr>
          <w:rFonts w:ascii="Times New Roman" w:hAnsi="Times New Roman"/>
        </w:rPr>
        <w:t>Aushebelungsversuch: Bewertung</w:t>
      </w:r>
    </w:p>
    <w:p>
      <w:pPr>
        <w:jc w:val="left"/>
      </w:pPr>
      <w:r>
        <w:t>Ansätze zur Umgehung des § 577a BGB, die Dr. Hellmann möglicherweise verfolgte:</w:t>
      </w:r>
    </w:p>
    <w:p>
      <w:pPr>
        <w:pStyle w:val="ListNumber"/>
      </w:pPr>
      <w:r>
        <w:rPr>
          <w:b/>
        </w:rPr>
        <w:t>Vorzeitige Eintragung der Teilungserklärung</w:t>
      </w:r>
      <w:r>
        <w:t xml:space="preserve"> ohne Verkauf — löst Sperrfrist nicht neu aus, wenn Wohnungseigentum noch nicht veräußert ist (arg. e contrario § 577a Abs. 1 BGB: "veräußert worden"). Solange die Einheiten nicht einzeln veräußert werden, läuft die Sperrfrist noch nicht.</w:t>
      </w:r>
    </w:p>
    <w:p>
      <w:pPr>
        <w:pStyle w:val="ListNumber"/>
      </w:pPr>
      <w:r>
        <w:rPr>
          <w:b/>
        </w:rPr>
        <w:t>Gesamtpaketverkauf an einen Investor</w:t>
      </w:r>
      <w:r>
        <w:t xml:space="preserve"> — bei Gesamtverkauf des Gebäudes als Ganzes (nicht der einzelnen Einheiten) greift § 577a BGB nicht unmittelbar. Die Sperrfrist setzt den Erwerb von </w:t>
      </w:r>
      <w:r>
        <w:rPr>
          <w:b/>
        </w:rPr>
        <w:t>Wohnungseigentum</w:t>
      </w:r>
      <w:r>
        <w:t xml:space="preserve"> voraus (einzelne Einheiten). Kaufen Mandanten das Gesamtgebäude (was hier geplant ist), bleibt § 577a BGB zunächst unangewendet.</w:t>
      </w:r>
    </w:p>
    <w:p>
      <w:pPr>
        <w:pStyle w:val="ListNumber"/>
      </w:pPr>
      <w:r>
        <w:rPr>
          <w:b/>
        </w:rPr>
        <w:t>Nachträgliche Einzelveräußerung</w:t>
      </w:r>
      <w:r>
        <w:t xml:space="preserve"> — falls Mandanten einzelne WE veräußern möchten, löst dies bei den verbleibenden Mietern die Sperrfrist aus.</w:t>
      </w:r>
    </w:p>
    <w:p>
      <w:pPr>
        <w:pStyle w:val="Heading3"/>
      </w:pPr>
      <w:r>
        <w:rPr>
          <w:rFonts w:ascii="Times New Roman" w:hAnsi="Times New Roman"/>
        </w:rPr>
        <w:t>Bedeutung für Mandanten</w:t>
      </w:r>
    </w:p>
    <w:p>
      <w:pPr>
        <w:jc w:val="left"/>
      </w:pPr>
      <w:r>
        <w:t>Für die geplante Gesamtinvestition ist § 577a BGB vorerst nicht aktiviert; gefährlich wird die Konstellation, wenn:</w:t>
      </w:r>
    </w:p>
    <w:p>
      <w:pPr>
        <w:pStyle w:val="ListBullet"/>
      </w:pPr>
      <w:r>
        <w:t>Mandanten einzelne Wohneinheiten an Eigenbedarfskäufer veräußern (Umwandlung nach § 577a Abs. 1 BGB vollzogen),</w:t>
      </w:r>
    </w:p>
    <w:p>
      <w:pPr>
        <w:pStyle w:val="ListBullet"/>
      </w:pPr>
      <w:r>
        <w:t>die bereits laufende — mangels GB-Eintragung noch ungeklärte — Teilungserklärung wirksam wird,</w:t>
      </w:r>
    </w:p>
    <w:p>
      <w:pPr>
        <w:pStyle w:val="ListBullet"/>
      </w:pPr>
      <w:r>
        <w:t>Mandanten später Eigenbedarf anmelden.</w:t>
      </w:r>
    </w:p>
    <w:p>
      <w:pPr>
        <w:jc w:val="left"/>
      </w:pPr>
      <w:r>
        <w:rPr>
          <w:b/>
        </w:rPr>
        <w:t>Empfehlung:</w:t>
      </w:r>
      <w:r>
        <w:t xml:space="preserve"> Prüfung, ob Teilungserklärung (UR-Nr. 2811/2025) wirksam ist und was der Status der Eintragung beim Grundbuchamt ist. Aktuelle Rückfrage beim Grundbuchamt Stuttgart vom 09.02.2026 noch offen.</w:t>
      </w:r>
    </w:p>
    <w:p/>
    <w:p>
      <w:pPr>
        <w:pStyle w:val="Heading2"/>
      </w:pPr>
      <w:r>
        <w:rPr>
          <w:rFonts w:ascii="Times New Roman" w:hAnsi="Times New Roman"/>
        </w:rPr>
        <w:t>3. Mieterstruktur und Vertragslagen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Mieter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MV seit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Nettokaltmiete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Vertragtyp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 EG li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Familie Özkan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01.03.2012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 EG 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Renate Sommer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15.07.2009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490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OG1 li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Florian Brandstetter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 OG1 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Eheleute Wagner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01.02.2020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 OG2 li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Dr. Ingrid Nefzger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01.05.2015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 OG2 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Tobias Grünwald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01.11.2022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Staffelmiete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 OG3 li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Kemal Demir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01.06.2008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unbefristet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OG3 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Vera Schlottmann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01.03.2024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Indexmiete</w:t>
            </w:r>
          </w:p>
        </w:tc>
      </w:tr>
    </w:tbl>
    <w:p>
      <w:pPr>
        <w:jc w:val="left"/>
      </w:pPr>
      <w:r>
        <w:t>Alle Mietverträge: unbefristet oder Sonder­vertrag; keine Befristung.</w:t>
      </w:r>
    </w:p>
    <w:p/>
    <w:p>
      <w:pPr>
        <w:pStyle w:val="Heading2"/>
      </w:pPr>
      <w:r>
        <w:rPr>
          <w:rFonts w:ascii="Times New Roman" w:hAnsi="Times New Roman"/>
        </w:rPr>
        <w:t>4. Handlungsempfehlung</w:t>
      </w:r>
    </w:p>
    <w:p>
      <w:pPr>
        <w:pStyle w:val="ListNumber"/>
      </w:pPr>
      <w:r>
        <w:t>Grundbuchamt-Rückfrage klären: Ist die Teilungserklärung wirksam eingetragen? Wenn ja, ist § 577a BGB durch die künftige Veräußerung aktiviert.</w:t>
      </w:r>
    </w:p>
    <w:p>
      <w:pPr>
        <w:pStyle w:val="ListNumber"/>
      </w:pPr>
      <w:r>
        <w:t>Mieterversammlung nach Eigentumsübergang planen — Informationspflicht gem. § 577a Abs. 4 BGB (Hinweis auf Sperrfrist).</w:t>
      </w:r>
    </w:p>
    <w:p>
      <w:pPr>
        <w:pStyle w:val="ListNumber"/>
      </w:pPr>
      <w:r>
        <w:t>Im Kaufvertrag Regelung, dass Teilungserklärung-Eintragungsantrag vor Vollzug zurückgezogen oder dessen Status klar offenbart wird.</w:t>
      </w:r>
    </w:p>
    <w:p>
      <w:pPr>
        <w:pStyle w:val="ListNumber"/>
      </w:pPr>
      <w:r>
        <w:t>Vgl. Aktenstück 20 (Mieterversammlung).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577a BGB — dejure.org</w:t>
      </w:r>
    </w:p>
    <w:p>
      <w:pPr>
        <w:pStyle w:val="ListBullet"/>
      </w:pPr>
      <w:r>
        <w:t>§ 573 BGB — dejure.org</w:t>
      </w:r>
    </w:p>
    <w:p>
      <w:pPr>
        <w:pStyle w:val="ListBullet"/>
      </w:pPr>
      <w:r>
        <w:t>§ 8 WEG — dejure.org</w:t>
      </w:r>
    </w:p>
    <w:p>
      <w:pPr>
        <w:pStyle w:val="ListBullet"/>
      </w:pPr>
      <w:r>
        <w:t>BGH, Urt. v. 22.11.2013 — V ZR 96/12 — zu § 577a BGB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10.02.2026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