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06 — Energieausweis fehlerhaft, GEG § 80, Klasse G statt B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14. Februar 2026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 xml:space="preserve">Im Kaufexposé wird der Energieausweis für das Mehrfamilienhaus Talstraße 188 mit </w:t>
      </w:r>
      <w:r>
        <w:rPr>
          <w:b/>
        </w:rPr>
        <w:t>Energieeffizienzklasse B</w:t>
      </w:r>
      <w:r>
        <w:t xml:space="preserve"> (Energiebedarf 55 kWh/(m²·a)) angegeben. Das Dokument mit dem Exposé ist ein Energiebedarfsausweis, ausgestellt am 12.06.2022 (Ausweisaussteller: Dipl.-Ing. Jürgen Frischmann, Energieberatungsbüro Frischmann, Esslingen).</w:t>
      </w:r>
    </w:p>
    <w:p>
      <w:pPr>
        <w:jc w:val="left"/>
      </w:pPr>
      <w:r>
        <w:t xml:space="preserve">Der beauftragte Energieberater der Mandanten, Dipl.-Ing. Rita Oberholzer (TÜV SÜD-akkreditiert), hat eine eigene Begehung am 03.02.2026 vorgenommen und kommt in ihrem Gutachten vom 12.02.2026 zu einem Energiebedarf von </w:t>
      </w:r>
      <w:r>
        <w:rPr>
          <w:b/>
        </w:rPr>
        <w:t>188 kWh/(m²·a)</w:t>
      </w:r>
      <w:r>
        <w:t xml:space="preserve">, was der </w:t>
      </w:r>
      <w:r>
        <w:rPr>
          <w:b/>
        </w:rPr>
        <w:t>Energieeffizienzklasse G</w:t>
      </w:r>
      <w:r>
        <w:t xml:space="preserve"> entspricht.</w:t>
      </w:r>
    </w:p>
    <w:p>
      <w:pPr>
        <w:jc w:val="left"/>
      </w:pPr>
      <w:r>
        <w:t>Abweichung: 133 kWh/(m²·a); drei Effizienzklassen Unterschied (B → G).</w:t>
      </w:r>
    </w:p>
    <w:p/>
    <w:p>
      <w:pPr>
        <w:pStyle w:val="Heading2"/>
      </w:pPr>
      <w:r>
        <w:rPr>
          <w:rFonts w:ascii="Times New Roman" w:hAnsi="Times New Roman"/>
        </w:rPr>
        <w:t>2. Ursachen der Abweichung (lt. Gutachten Oberholzer)</w:t>
      </w:r>
    </w:p>
    <w:p>
      <w:pPr>
        <w:pStyle w:val="ListBullet"/>
      </w:pPr>
      <w:r>
        <w:t>Dämmung der Außenwände: Kein Wärmedämmverbundsystem vorhanden; Außenwand unrenoviert seit Baujahr 1928 (Ziegel unverputzt in Teilen, Fassade denkmalgeschützt).</w:t>
      </w:r>
    </w:p>
    <w:p>
      <w:pPr>
        <w:pStyle w:val="ListBullet"/>
      </w:pPr>
      <w:r>
        <w:t>Heizsystem: Gas-Zentralheizung, Baujahr 1998 (Effizienzklasse der Heizanlage: C nach GEG 2020), keine Niedertemperatur-/Brennwerttechnik.</w:t>
      </w:r>
    </w:p>
    <w:p>
      <w:pPr>
        <w:pStyle w:val="ListBullet"/>
      </w:pPr>
      <w:r>
        <w:t>Fenster: Einfachverglasung in den OG-Einheiten 3–8 (nicht die angegebene Zweifachverglasung aus dem Frischmann-Ausweis).</w:t>
      </w:r>
    </w:p>
    <w:p>
      <w:pPr>
        <w:pStyle w:val="ListBullet"/>
      </w:pPr>
      <w:r>
        <w:t>Kellerdecke: nicht gedämmt.</w:t>
      </w:r>
    </w:p>
    <w:p>
      <w:pPr>
        <w:pStyle w:val="ListBullet"/>
      </w:pPr>
      <w:r>
        <w:t>Frischmann-Ausweis: Verwendet offensichtlich falsche Eingabewerte (Baujahr Heizung als 2015 angegeben statt 1998; Fenster als Zweifach-Wärmeträgerglas angegeben).</w:t>
      </w:r>
    </w:p>
    <w:p/>
    <w:p>
      <w:pPr>
        <w:pStyle w:val="Heading2"/>
      </w:pPr>
      <w:r>
        <w:rPr>
          <w:rFonts w:ascii="Times New Roman" w:hAnsi="Times New Roman"/>
        </w:rPr>
        <w:t>3. Rechtliche Grundlagen</w:t>
      </w:r>
    </w:p>
    <w:p>
      <w:pPr>
        <w:pStyle w:val="Heading3"/>
      </w:pPr>
      <w:r>
        <w:rPr>
          <w:rFonts w:ascii="Times New Roman" w:hAnsi="Times New Roman"/>
        </w:rPr>
        <w:t>GEG § 80 — Pflicht zum Energieausweis, Ausstellung und Inhalt</w:t>
      </w:r>
    </w:p>
    <w:p>
      <w:pPr>
        <w:jc w:val="left"/>
      </w:pPr>
      <w:r>
        <w:t>Das Gebäudeenergiegesetz (GEG), in Kraft seit 01.11.2020, verpflichtet Verkäufer von Gebäuden zur Vorlage eines Energieausweises (§ 80 Abs. 1 GEG). Der Ausweis muss die tatsächlichen energetischen Eigenschaften des Gebäudes widerspiegeln; ein wissentlich unrichtiger Ausweis kann zu Ordnungswidrigkeiten und zivilrechtlichen Haftungsansprüchen führen.</w:t>
      </w:r>
    </w:p>
    <w:p>
      <w:pPr>
        <w:jc w:val="left"/>
      </w:pPr>
      <w:r>
        <w:t>Quelle: § 80 GEG auf gesetze-im-internet.de</w:t>
      </w:r>
    </w:p>
    <w:p>
      <w:pPr>
        <w:jc w:val="left"/>
      </w:pPr>
      <w:r>
        <w:t>§ 80 Abs. 8 GEG: Der Aussteller des Energieausweises haftet für Schäden, die durch einen nach den anerkannten Regeln der Technik fehlerhaft erstellten Energieausweis entstehen (deliktische Haftung gegenüber Dritten, hier den Käufern).</w:t>
      </w:r>
    </w:p>
    <w:p>
      <w:pPr>
        <w:pStyle w:val="Heading3"/>
      </w:pPr>
      <w:r>
        <w:rPr>
          <w:rFonts w:ascii="Times New Roman" w:hAnsi="Times New Roman"/>
        </w:rPr>
        <w:t>Sachmangel (§ 434 BGB)</w:t>
      </w:r>
    </w:p>
    <w:p>
      <w:pPr>
        <w:jc w:val="left"/>
      </w:pPr>
      <w:r>
        <w:t>Die falsche Angabe der Energieeffizienzklasse im Exposé stellt eine Beschaffenheitsvereinbarung dar (§ 434 Abs. 1 S. 1 BGB). Die Abweichung um drei Klassen ist erheblich und begründet einen Sachmangel.</w:t>
      </w:r>
    </w:p>
    <w:p>
      <w:pPr>
        <w:jc w:val="left"/>
      </w:pPr>
      <w:r>
        <w:t>Rechtsfolgen: Minderung (§ 441 BGB), Rücktritt (§ 323 BGB), Schadensersatz (§ 280 BGB). Quelle: § 434 BGB — dejure.org.</w:t>
      </w:r>
    </w:p>
    <w:p>
      <w:pPr>
        <w:pStyle w:val="Heading3"/>
      </w:pPr>
      <w:r>
        <w:rPr>
          <w:rFonts w:ascii="Times New Roman" w:hAnsi="Times New Roman"/>
        </w:rPr>
        <w:t>Haftung des Maklers</w:t>
      </w:r>
    </w:p>
    <w:p>
      <w:pPr>
        <w:jc w:val="left"/>
      </w:pPr>
      <w:r>
        <w:t>Immobilienmakler haften für eigenverantwortliche Angaben im Exposé, die falsch und für den Käufer kaufpreisrelevant sind (§ 311 Abs. 3 BGB, Haftung Dritter). Maklerbüro Klett &amp; Partner hat den fehlerhaften Ausweis ungeprüft übernommen und als "geprüft" ins Exposé aufgenommen.</w:t>
      </w:r>
    </w:p>
    <w:p/>
    <w:p>
      <w:pPr>
        <w:pStyle w:val="Heading2"/>
      </w:pPr>
      <w:r>
        <w:rPr>
          <w:rFonts w:ascii="Times New Roman" w:hAnsi="Times New Roman"/>
        </w:rPr>
        <w:t>4. Wirtschaftliche Folgen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Faktor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Energiekosten Mieter höher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Mieterreklamationen zu erwarten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Modernisierungsumlage blockiert (Denkmalschutz)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Energetische Sanierung nur eingeschränkt möglich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Sanierungskosten Klasse G → 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Schätzung ca. 350.000–500.000 EUR (Oberholzer)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Wertminderung Objekt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200.000–300.000 EUR (Sachverständiger Habermeier)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Ggf. GEG-Sanierungspflicht ab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§§ 52, 71 GEG (Austausch Öl-/Gasheizung)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Maßnahmen</w:t>
      </w:r>
    </w:p>
    <w:p>
      <w:pPr>
        <w:pStyle w:val="ListNumber"/>
      </w:pPr>
      <w:r>
        <w:t>Schreiben an Makler Klett &amp; Partner: Aufforderung zur Richtigstellung des Exposés, Ankündigung Schadensersatzklage.</w:t>
      </w:r>
    </w:p>
    <w:p>
      <w:pPr>
        <w:pStyle w:val="ListNumber"/>
      </w:pPr>
      <w:r>
        <w:t>Ordnungswidrigkeitsanzeige gegen Aussteller Frischmann bei der zuständigen Behörde (Landratsamt Stuttgart als untere Baurechtsbehörde, § 108 GEG Bußgeld bis 15.000 EUR).</w:t>
      </w:r>
    </w:p>
    <w:p>
      <w:pPr>
        <w:pStyle w:val="ListNumber"/>
      </w:pPr>
      <w:r>
        <w:t>Einstellung in Kaufpreisverhandlung: Abzug min. 200.000 EUR oder Rücktritt.</w:t>
      </w:r>
    </w:p>
    <w:p>
      <w:pPr>
        <w:pStyle w:val="ListNumber"/>
      </w:pPr>
      <w:r>
        <w:t>Denkmalschutz-Verträglichkeitsprüfung für energetische Sanierungsmaßnahmen (vgl. Aktenstück 11).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80 GEG — gesetze-im-internet.de</w:t>
      </w:r>
    </w:p>
    <w:p>
      <w:pPr>
        <w:pStyle w:val="ListBullet"/>
      </w:pPr>
      <w:r>
        <w:t>§ 108 GEG — gesetze-im-internet.de</w:t>
      </w:r>
    </w:p>
    <w:p>
      <w:pPr>
        <w:pStyle w:val="ListBullet"/>
      </w:pPr>
      <w:r>
        <w:t>§ 434 BGB — dejure.org</w:t>
      </w:r>
    </w:p>
    <w:p>
      <w:pPr>
        <w:pStyle w:val="ListBullet"/>
      </w:pPr>
      <w:r>
        <w:t>§ 311 BGB — dejure.org</w:t>
      </w:r>
    </w:p>
    <w:p>
      <w:pPr>
        <w:pStyle w:val="ListBullet"/>
      </w:pPr>
      <w:r>
        <w:t>BGH, Urt. v. 06.11.2015 — V ZR 78/14 — Haftung bei falschem Energieausweis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14.02.2026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