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07 — Pflichtteilsergänzung § 2325 BGB, Notarvollmacht als Schenkung</w:t>
      </w:r>
    </w:p>
    <w:p>
      <w:pPr>
        <w:jc w:val="left"/>
      </w:pPr>
      <w:r>
        <w:rPr>
          <w:b/>
        </w:rPr>
        <w:t>Aktenzeichen: SW/2026/0188-IMM</w:t>
      </w:r>
    </w:p>
    <w:p>
      <w:pPr>
        <w:jc w:val="left"/>
      </w:pPr>
      <w:r>
        <w:t>Stand: 18. Februar 2026</w:t>
      </w:r>
    </w:p>
    <w:p/>
    <w:p>
      <w:pPr>
        <w:pStyle w:val="Heading2"/>
      </w:pPr>
      <w:r>
        <w:rPr>
          <w:rFonts w:ascii="Times New Roman" w:hAnsi="Times New Roman"/>
        </w:rPr>
        <w:t>1. Sachverhalt — interner Mandantenkonflikt</w:t>
      </w:r>
    </w:p>
    <w:p>
      <w:pPr>
        <w:jc w:val="left"/>
      </w:pPr>
      <w:r>
        <w:t>Im Rahmen der Mandatsbearbeitung wurde RA Dr. Schwingenstein von Dr. Berthold Rosenmündl über einen Erbkonflikt informiert, der sein eigenes Familienvermögen betrifft und mittelbar auf die Finanzierungsfähigkeit des Immobilienerwerbs einwirkt:</w:t>
      </w:r>
    </w:p>
    <w:p>
      <w:pPr>
        <w:jc w:val="left"/>
      </w:pPr>
      <w:r>
        <w:t xml:space="preserve">Dr. Bertholds Vater, </w:t>
      </w:r>
      <w:r>
        <w:rPr>
          <w:b/>
        </w:rPr>
        <w:t>Georg Rosenmündl</w:t>
      </w:r>
      <w:r>
        <w:t xml:space="preserve"> (Rentner, Ravensburg, geb. 06.04.1944), hat im Februar 2025 seiner jüngeren Tochter </w:t>
      </w:r>
      <w:r>
        <w:rPr>
          <w:b/>
        </w:rPr>
        <w:t>Petra Rosenmündl-Kübler</w:t>
      </w:r>
      <w:r>
        <w:t xml:space="preserve"> eine notarielle Generalvollmacht erteilt und ihr gleichzeitig ein Wertpapierdepot im Wert von ca. </w:t>
      </w:r>
      <w:r>
        <w:rPr>
          <w:b/>
        </w:rPr>
        <w:t>380.000 EUR</w:t>
      </w:r>
      <w:r>
        <w:t xml:space="preserve"> sowie das Ferienhaus Bodensee (Wert ca. </w:t>
      </w:r>
      <w:r>
        <w:rPr>
          <w:b/>
        </w:rPr>
        <w:t>420.000 EUR</w:t>
      </w:r>
      <w:r>
        <w:t>) übertragen. Die Übertragungen wurden als lebzeitige Schenkungen deklariert.</w:t>
      </w:r>
    </w:p>
    <w:p>
      <w:pPr>
        <w:jc w:val="left"/>
      </w:pPr>
      <w:r>
        <w:t>Dr. Berthold Rosenmündl ist Pflichtteilsberechtigter und befürchtet, dass diese Schenkungen seinen Pflichtteilsanspruch bei Ableben des Vaters erheblich vermindern. Er möchte wissen, ob die Schenkungen nach § 2325 BGB (Pflichtteilsergänzungsanspruch) anfechtbar sind.</w:t>
      </w:r>
    </w:p>
    <w:p/>
    <w:p>
      <w:pPr>
        <w:pStyle w:val="Heading2"/>
      </w:pPr>
      <w:r>
        <w:rPr>
          <w:rFonts w:ascii="Times New Roman" w:hAnsi="Times New Roman"/>
        </w:rPr>
        <w:t>2. Rechtliche Analyse</w:t>
      </w:r>
    </w:p>
    <w:p>
      <w:pPr>
        <w:pStyle w:val="Heading3"/>
      </w:pPr>
      <w:r>
        <w:rPr>
          <w:rFonts w:ascii="Times New Roman" w:hAnsi="Times New Roman"/>
        </w:rPr>
        <w:t>§ 2325 BGB — Pflichtteilsergänzungsanspruch</w:t>
      </w:r>
    </w:p>
    <w:p>
      <w:pPr>
        <w:jc w:val="left"/>
      </w:pPr>
      <w:r>
        <w:t>Hat der Erblasser einem Dritten eine Schenkung gemacht, so kann der Pflichtteilsberechtigte als Ergänzung des Pflichtteils den Betrag verlangen, um den sich der Pflichtteil erhöht, wenn der verschenkte Gegenstand dem Nachlass hinzugerechnet wird (§ 2325 Abs. 1 BGB).</w:t>
      </w:r>
    </w:p>
    <w:p>
      <w:pPr>
        <w:jc w:val="left"/>
      </w:pPr>
      <w:r>
        <w:t>Quelle: § 2325 BGB auf dejure.org</w:t>
      </w:r>
    </w:p>
    <w:p>
      <w:pPr>
        <w:jc w:val="left"/>
      </w:pPr>
      <w:r>
        <w:rPr>
          <w:b/>
        </w:rPr>
        <w:t>Abschmelzungsregel (§ 2325 Abs. 3 BGB):</w:t>
      </w:r>
      <w:r>
        <w:t xml:space="preserve"> Schenkungen werden für den Pflichtteilsergänzungsanspruch nur berücksichtigt, wenn sie innerhalb von zehn Jahren vor dem Erbfall gemacht wurden. Für jedes Jahr, das nach der Schenkung verstrichen ist, vermindert sich der anrechenbare Betrag um 1/10 ("Abschmelzungsprinzip").</w:t>
      </w:r>
    </w:p>
    <w:p>
      <w:pPr>
        <w:jc w:val="left"/>
      </w:pPr>
      <w:r>
        <w:t>Im vorliegenden Fall (Schenkung Februar 2025): Wenn Georg Rosenmündl innerhalb der nächsten zehn Jahre verstirbt, sind die Schenkungen in voller Höhe oder mit Abschmelzung anrechenbar.</w:t>
      </w:r>
    </w:p>
    <w:p>
      <w:pPr>
        <w:pStyle w:val="Heading3"/>
      </w:pPr>
      <w:r>
        <w:rPr>
          <w:rFonts w:ascii="Times New Roman" w:hAnsi="Times New Roman"/>
        </w:rPr>
        <w:t>Notarvollmacht als verdeckte Schenkung?</w:t>
      </w:r>
    </w:p>
    <w:p>
      <w:pPr>
        <w:jc w:val="left"/>
      </w:pPr>
      <w:r>
        <w:t xml:space="preserve">Die Generalvollmacht selbst ist kein selbstständiger Vermögenstransfer; die pflichtteilsrelevanten Akte sind die </w:t>
      </w:r>
      <w:r>
        <w:rPr>
          <w:b/>
        </w:rPr>
        <w:t>Eigentumsübertragungen</w:t>
      </w:r>
      <w:r>
        <w:t xml:space="preserve"> (Wertpapierdepot und Ferienhaus) unter Nutzung der Vollmacht oder als Schenkungsakt.</w:t>
      </w:r>
    </w:p>
    <w:p>
      <w:pPr>
        <w:jc w:val="left"/>
      </w:pPr>
      <w:r>
        <w:t>Zu prüfen: Ob die Eigentumsübertragungen durch Schenkungsvertrag (§§ 516 ff. BGB) wirksam oder durch die Vollmacht vollzogen wurden. Bei Generalvollmacht und zeitgleicher Übertragung ist von einer koordinierten Schenkung auszugehen.</w:t>
      </w:r>
    </w:p>
    <w:p>
      <w:pPr>
        <w:jc w:val="left"/>
      </w:pPr>
      <w:r>
        <w:t>Quelle: § 516 BGB — dejure.org</w:t>
      </w:r>
    </w:p>
    <w:p>
      <w:pPr>
        <w:pStyle w:val="Heading3"/>
      </w:pPr>
      <w:r>
        <w:rPr>
          <w:rFonts w:ascii="Times New Roman" w:hAnsi="Times New Roman"/>
        </w:rPr>
        <w:t>Relevanz: "Genuss"-Einschränkung bei Immobilienschenkung</w:t>
      </w:r>
    </w:p>
    <w:p>
      <w:pPr>
        <w:jc w:val="left"/>
      </w:pPr>
      <w:r>
        <w:t>§ 2325 Abs. 3 S. 2 BGB: Bei Schenkungen unter Vorbehalt von Nutzungsrechten (z.B. Nießbrauch, Wohnrecht) läuft die 10-Jahresfrist erst ab dem Zeitpunkt, in dem der Schenker keine Leistungen mehr erbringt oder keine wesentlichen wirtschaftlichen Vorteile behält. Ob Georg Rosenmündl das Ferienhaus weiterhin nutzt, ist zu klären (BGH-Rechtsprechung "Genuss-Einschränkung").</w:t>
      </w:r>
    </w:p>
    <w:p>
      <w:pPr>
        <w:jc w:val="left"/>
      </w:pPr>
      <w:r>
        <w:t>Relevante BGH-Entscheidung: BGH, Urt. v. 27.04.1994 — IV ZR 132/93 — Nießbrauchsvorbehalt und § 2325 BGB</w:t>
      </w:r>
    </w:p>
    <w:p/>
    <w:p>
      <w:pPr>
        <w:pStyle w:val="Heading2"/>
      </w:pPr>
      <w:r>
        <w:rPr>
          <w:rFonts w:ascii="Times New Roman" w:hAnsi="Times New Roman"/>
        </w:rPr>
        <w:t>3. Berechnungsgrundlage (vorläufig)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Schenkungsgegenstand</w:t>
            </w:r>
          </w:p>
        </w:tc>
        <w:tc>
          <w:tcPr>
            <w:tcW w:type="dxa" w:w="2268"/>
          </w:tcPr>
          <w:p>
            <w:r>
              <w:rPr>
                <w:rFonts w:ascii="Times New Roman" w:hAnsi="Times New Roman"/>
                <w:b/>
                <w:sz w:val="20"/>
              </w:rPr>
              <w:t>Wert Feb. 2025 (EUR)</w:t>
            </w:r>
          </w:p>
        </w:tc>
        <w:tc>
          <w:tcPr>
            <w:tcW w:type="dxa" w:w="2268"/>
          </w:tcPr>
          <w:p>
            <w:r>
              <w:rPr>
                <w:rFonts w:ascii="Times New Roman" w:hAnsi="Times New Roman"/>
                <w:b/>
                <w:sz w:val="20"/>
              </w:rPr>
              <w:t>Abschmelzung nach 1 Jahr (10 %)</w:t>
            </w:r>
          </w:p>
        </w:tc>
        <w:tc>
          <w:tcPr>
            <w:tcW w:type="dxa" w:w="2268"/>
          </w:tcPr>
          <w:p>
            <w:r>
              <w:rPr>
                <w:rFonts w:ascii="Times New Roman" w:hAnsi="Times New Roman"/>
                <w:b/>
                <w:sz w:val="20"/>
              </w:rPr>
              <w:t>Ergänzungsanspruch-Basis</w:t>
            </w:r>
          </w:p>
        </w:tc>
      </w:tr>
      <w:tr>
        <w:tc>
          <w:tcPr>
            <w:tcW w:type="dxa" w:w="2268"/>
          </w:tcPr>
          <w:p>
            <w:r>
              <w:rPr>
                <w:rFonts w:ascii="Times New Roman" w:hAnsi="Times New Roman"/>
                <w:sz w:val="20"/>
              </w:rPr>
              <w:t>Wertpapierdepot</w:t>
            </w:r>
          </w:p>
        </w:tc>
        <w:tc>
          <w:tcPr>
            <w:tcW w:type="dxa" w:w="2268"/>
          </w:tcPr>
          <w:p>
            <w:r>
              <w:rPr>
                <w:rFonts w:ascii="Times New Roman" w:hAnsi="Times New Roman"/>
                <w:sz w:val="20"/>
              </w:rPr>
              <w:t>380.000</w:t>
            </w:r>
          </w:p>
        </w:tc>
        <w:tc>
          <w:tcPr>
            <w:tcW w:type="dxa" w:w="2268"/>
          </w:tcPr>
          <w:p>
            <w:r>
              <w:rPr>
                <w:rFonts w:ascii="Times New Roman" w:hAnsi="Times New Roman"/>
                <w:sz w:val="20"/>
              </w:rPr>
              <w:t>38.000</w:t>
            </w:r>
          </w:p>
        </w:tc>
        <w:tc>
          <w:tcPr>
            <w:tcW w:type="dxa" w:w="2268"/>
          </w:tcPr>
          <w:p>
            <w:r>
              <w:rPr>
                <w:rFonts w:ascii="Times New Roman" w:hAnsi="Times New Roman"/>
                <w:sz w:val="20"/>
              </w:rPr>
              <w:t>342.000</w:t>
            </w:r>
          </w:p>
        </w:tc>
      </w:tr>
      <w:tr>
        <w:tc>
          <w:tcPr>
            <w:tcW w:type="dxa" w:w="2268"/>
          </w:tcPr>
          <w:p>
            <w:r>
              <w:rPr>
                <w:rFonts w:ascii="Times New Roman" w:hAnsi="Times New Roman"/>
                <w:sz w:val="20"/>
              </w:rPr>
              <w:t>Ferienhaus Bodensee</w:t>
            </w:r>
          </w:p>
        </w:tc>
        <w:tc>
          <w:tcPr>
            <w:tcW w:type="dxa" w:w="2268"/>
          </w:tcPr>
          <w:p>
            <w:r>
              <w:rPr>
                <w:rFonts w:ascii="Times New Roman" w:hAnsi="Times New Roman"/>
                <w:sz w:val="20"/>
              </w:rPr>
              <w:t>420.000</w:t>
            </w:r>
          </w:p>
        </w:tc>
        <w:tc>
          <w:tcPr>
            <w:tcW w:type="dxa" w:w="2268"/>
          </w:tcPr>
          <w:p>
            <w:r>
              <w:rPr>
                <w:rFonts w:ascii="Times New Roman" w:hAnsi="Times New Roman"/>
                <w:sz w:val="20"/>
              </w:rPr>
              <w:t>42.000</w:t>
            </w:r>
          </w:p>
        </w:tc>
        <w:tc>
          <w:tcPr>
            <w:tcW w:type="dxa" w:w="2268"/>
          </w:tcPr>
          <w:p>
            <w:r>
              <w:rPr>
                <w:rFonts w:ascii="Times New Roman" w:hAnsi="Times New Roman"/>
                <w:sz w:val="20"/>
              </w:rPr>
              <w:t>378.000</w:t>
            </w:r>
          </w:p>
        </w:tc>
      </w:tr>
      <w:tr>
        <w:tc>
          <w:tcPr>
            <w:tcW w:type="dxa" w:w="2268"/>
          </w:tcPr>
          <w:p>
            <w:r>
              <w:rPr>
                <w:rFonts w:ascii="Times New Roman" w:hAnsi="Times New Roman"/>
                <w:b/>
                <w:sz w:val="20"/>
              </w:rPr>
              <w:t>Gesamt (nach 1 Jahr)</w:t>
            </w:r>
          </w:p>
        </w:tc>
        <w:tc>
          <w:tcPr>
            <w:tcW w:type="dxa" w:w="2268"/>
          </w:tcPr>
          <w:p>
            <w:r>
              <w:rPr>
                <w:rFonts w:ascii="Times New Roman" w:hAnsi="Times New Roman"/>
                <w:b/>
                <w:sz w:val="20"/>
              </w:rPr>
              <w:t>800.000</w:t>
            </w:r>
          </w:p>
        </w:tc>
        <w:tc>
          <w:tcPr>
            <w:tcW w:type="dxa" w:w="2268"/>
          </w:tcPr>
          <w:p>
            <w:r>
              <w:rPr>
                <w:rFonts w:ascii="Times New Roman" w:hAnsi="Times New Roman"/>
                <w:b/>
                <w:sz w:val="20"/>
              </w:rPr>
              <w:t>80.000</w:t>
            </w:r>
          </w:p>
        </w:tc>
        <w:tc>
          <w:tcPr>
            <w:tcW w:type="dxa" w:w="2268"/>
          </w:tcPr>
          <w:p>
            <w:r>
              <w:rPr>
                <w:rFonts w:ascii="Times New Roman" w:hAnsi="Times New Roman"/>
                <w:b/>
                <w:sz w:val="20"/>
              </w:rPr>
              <w:t>720.000</w:t>
            </w:r>
          </w:p>
        </w:tc>
      </w:tr>
    </w:tbl>
    <w:p>
      <w:pPr>
        <w:jc w:val="left"/>
      </w:pPr>
      <w:r>
        <w:t>Pflichtteilsquote Dr. Berthold (angenommen 2 Kinder gesetzlich erbberechtigt): 1/4 (Hälfte des gesetzlichen Erbteils von 1/2). Ergänzungsanspruch ca. 180.000 EUR nach derzeitigem Stand.</w:t>
      </w:r>
    </w:p>
    <w:p/>
    <w:p>
      <w:pPr>
        <w:pStyle w:val="Heading2"/>
      </w:pPr>
      <w:r>
        <w:rPr>
          <w:rFonts w:ascii="Times New Roman" w:hAnsi="Times New Roman"/>
        </w:rPr>
        <w:t>4. Mandatsrelevanz für Immobilienerwerb</w:t>
      </w:r>
    </w:p>
    <w:p>
      <w:pPr>
        <w:jc w:val="left"/>
      </w:pPr>
      <w:r>
        <w:t>Dr. Berthold Rosenmündl stellt in Aussicht, einen möglichen Pflichtteilsergänzungsanspruch zur Mitfinanzierung des Kaufpreises heranzuziehen. Rechtlich ist dies erst nach Erbfall realisierbar; aktuell kein liquidisierbarer Anspruch. Empfehlung: Pflichtteilsergänzungsanspruch nicht in die Finanzierungsplanung einbeziehen; ggf. separates Mandat zur Sicherung des Anspruchs (Auskunftsklage gegen Georg Rosenmündl gem. § 2314 BGB).</w:t>
      </w:r>
    </w:p>
    <w:p/>
    <w:p>
      <w:pPr>
        <w:pStyle w:val="Heading2"/>
      </w:pPr>
      <w:r>
        <w:rPr>
          <w:rFonts w:ascii="Times New Roman" w:hAnsi="Times New Roman"/>
        </w:rPr>
        <w:t>Quellen</w:t>
      </w:r>
    </w:p>
    <w:p>
      <w:pPr>
        <w:pStyle w:val="ListBullet"/>
      </w:pPr>
      <w:r>
        <w:t>§ 2325 BGB — dejure.org</w:t>
      </w:r>
    </w:p>
    <w:p>
      <w:pPr>
        <w:pStyle w:val="ListBullet"/>
      </w:pPr>
      <w:r>
        <w:t>§ 2314 BGB — dejure.org</w:t>
      </w:r>
    </w:p>
    <w:p>
      <w:pPr>
        <w:pStyle w:val="ListBullet"/>
      </w:pPr>
      <w:r>
        <w:t>§ 516 BGB — dejure.org</w:t>
      </w:r>
    </w:p>
    <w:p>
      <w:pPr>
        <w:pStyle w:val="ListBullet"/>
      </w:pPr>
      <w:r>
        <w:t>BGH, Urt. v. 27.04.1994 — IV ZR 132/93 — bundesgerichtshof.de</w:t>
      </w:r>
    </w:p>
    <w:p>
      <w:pPr>
        <w:pStyle w:val="ListBullet"/>
      </w:pPr>
      <w:r>
        <w:t>BGH, Urt. v. 29.06.2016 — IV ZR 290/15 — Pflichtteilsergänzung, Abschmelzung</w:t>
      </w:r>
    </w:p>
    <w:p/>
    <w:p>
      <w:pPr>
        <w:jc w:val="left"/>
      </w:pPr>
      <w:r>
        <w:rPr>
          <w:i/>
        </w:rPr>
        <w:t>Bearbeiter: RA/Notar Dr. Bertram Schwingenstein</w:t>
      </w:r>
    </w:p>
    <w:p>
      <w:pPr>
        <w:jc w:val="left"/>
      </w:pPr>
      <w:r>
        <w:rPr>
          <w:i/>
        </w:rPr>
        <w:t>Datum: 18.02.2026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