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08 — Erbengemeinschaft Voreigentümer, §§ 2032 ff. BGB</w:t>
      </w:r>
    </w:p>
    <w:p>
      <w:pPr>
        <w:jc w:val="left"/>
      </w:pPr>
      <w:r>
        <w:rPr>
          <w:b/>
        </w:rPr>
        <w:t>Aktenzeichen: SW/2026/0188-IMM</w:t>
      </w:r>
    </w:p>
    <w:p>
      <w:pPr>
        <w:jc w:val="left"/>
      </w:pPr>
      <w:r>
        <w:t>Stand: 22. Februar 2026</w:t>
      </w:r>
    </w:p>
    <w:p/>
    <w:p>
      <w:pPr>
        <w:pStyle w:val="Heading2"/>
      </w:pPr>
      <w:r>
        <w:rPr>
          <w:rFonts w:ascii="Times New Roman" w:hAnsi="Times New Roman"/>
        </w:rPr>
        <w:t>1. Sachlage Erbengemeinschaft Hellmann</w:t>
      </w:r>
    </w:p>
    <w:p>
      <w:pPr>
        <w:jc w:val="left"/>
      </w:pPr>
      <w:r>
        <w:t xml:space="preserve">Dr. Volkard Hellmann verstarb am 03.11.2025. Der notarielle Erbschein des Nachlassgerichts Stuttgart (Az. VI 0212/2025), ausgestellt am 15.12.2025, weist vier Miterben zu je 1/4 aus (vgl. Aktenstück 02). Eine Miterbin — </w:t>
      </w:r>
      <w:r>
        <w:rPr>
          <w:b/>
        </w:rPr>
        <w:t>Katharina Hellmann-Faber</w:t>
      </w:r>
      <w:r>
        <w:t xml:space="preserve"> (Tochter, Hamburg) — verweigert ihre Zustimmung zum Verkauf.</w:t>
      </w:r>
    </w:p>
    <w:p/>
    <w:p>
      <w:pPr>
        <w:pStyle w:val="Heading2"/>
      </w:pPr>
      <w:r>
        <w:rPr>
          <w:rFonts w:ascii="Times New Roman" w:hAnsi="Times New Roman"/>
        </w:rPr>
        <w:t>2. Rechtliche Grundlagen Erbengemeinschaft</w:t>
      </w:r>
    </w:p>
    <w:p>
      <w:pPr>
        <w:pStyle w:val="Heading3"/>
      </w:pPr>
      <w:r>
        <w:rPr>
          <w:rFonts w:ascii="Times New Roman" w:hAnsi="Times New Roman"/>
        </w:rPr>
        <w:t>§§ 2032 ff. BGB — Gesamthandsgemeinschaft</w:t>
      </w:r>
    </w:p>
    <w:p>
      <w:pPr>
        <w:jc w:val="left"/>
      </w:pPr>
      <w:r>
        <w:t>Die Erbengemeinschaft ist nach § 2032 BGB eine gesamthänderische Verbindung der Miterben. Über Nachlassgegenstände können die Miterben nur gemeinschaftlich verfügen (§ 2040 Abs. 1 BGB). Ein Miterbe allein kann nicht über seinen Anteil an einzelnen Nachlassgegenständen verfügen (§ 2033 Abs. 2 BGB).</w:t>
      </w:r>
    </w:p>
    <w:p>
      <w:pPr>
        <w:jc w:val="left"/>
      </w:pPr>
      <w:r>
        <w:t>Quellen: § 2032 BGB — dejure.org; § 2040 BGB — dejure.org; § 2033 BGB — dejure.org.</w:t>
      </w:r>
    </w:p>
    <w:p>
      <w:pPr>
        <w:jc w:val="left"/>
      </w:pPr>
      <w:r>
        <w:rPr>
          <w:b/>
        </w:rPr>
        <w:t>Rechtsfolge:</w:t>
      </w:r>
      <w:r>
        <w:t xml:space="preserve"> Der Kaufvertrag muss von </w:t>
      </w:r>
      <w:r>
        <w:rPr>
          <w:b/>
        </w:rPr>
        <w:t>allen vier Miterben</w:t>
      </w:r>
      <w:r>
        <w:t xml:space="preserve"> unterzeichnet werden (oder von einem durch notarielle Vollmacht Bevollmächtigten). Die Verweigerung von Katharina Hellmann-Faber ist derzeit ein Verfügungshindernis.</w:t>
      </w:r>
    </w:p>
    <w:p>
      <w:pPr>
        <w:pStyle w:val="Heading3"/>
      </w:pPr>
      <w:r>
        <w:rPr>
          <w:rFonts w:ascii="Times New Roman" w:hAnsi="Times New Roman"/>
        </w:rPr>
        <w:t>Zwangsversteigerung als Drohkulisse (§ 753 BGB)</w:t>
      </w:r>
    </w:p>
    <w:p>
      <w:pPr>
        <w:jc w:val="left"/>
      </w:pPr>
      <w:r>
        <w:t>Jeder Miterbe kann Auseinandersetzung der Erbengemeinschaft verlangen (§ 2042 BGB). Einigt die Gemeinschaft sich nicht, kann Auseinandersetzung im Wege der Teilungsversteigerung nach §§ 180 ff. ZVG erzwungen werden. Dies wäre für alle Miterben wirtschaftlich nachteilig.</w:t>
      </w:r>
    </w:p>
    <w:p>
      <w:pPr>
        <w:jc w:val="left"/>
      </w:pPr>
      <w:r>
        <w:t>Quelle: § 2042 BGB — dejure.org</w:t>
      </w:r>
    </w:p>
    <w:p>
      <w:pPr>
        <w:pStyle w:val="Heading3"/>
      </w:pPr>
      <w:r>
        <w:rPr>
          <w:rFonts w:ascii="Times New Roman" w:hAnsi="Times New Roman"/>
        </w:rPr>
        <w:t>Verwaltung des Nachlasses</w:t>
      </w:r>
    </w:p>
    <w:p>
      <w:pPr>
        <w:jc w:val="left"/>
      </w:pPr>
      <w:r>
        <w:t>Ordentliche Verwaltungsmaßnahmen können die Miterben mit Mehrheit beschließen (§ 2038 Abs. 2 BGB i.V.m. § 745 BGB). Der Verkauf des Hauptnachlassgutes (Grundstück) ist keine Verwaltungsmaßnahme, sondern eine außerordentliche Verfügung — einstimmig erforderlich.</w:t>
      </w:r>
    </w:p>
    <w:p/>
    <w:p>
      <w:pPr>
        <w:pStyle w:val="Heading2"/>
      </w:pPr>
      <w:r>
        <w:rPr>
          <w:rFonts w:ascii="Times New Roman" w:hAnsi="Times New Roman"/>
        </w:rPr>
        <w:t>3. Katharina Hellmann-Faber — Verweigerungsgrund</w:t>
      </w:r>
    </w:p>
    <w:p>
      <w:pPr>
        <w:jc w:val="left"/>
      </w:pPr>
      <w:r>
        <w:t>Schreiben Hellmann-Fabers vom 15.02.2026 (RA-Schreiben Götz &amp; Schuster, Hamburg): Die Miterbin lehnt den Verkaufspreis von 4.800.000 EUR als zu niedrig ab; sie beauftragte ein eigenes Gutachten (Wertermittlung läuft). Darüber hinaus beanstandet sie, dass die Erbengemeinschaft bislang kein ordentliches Nachlassinventar (§ 2002 BGB) erstellt hat. Zudem erhebt sie Einwände gegen die WEG-Teilungserklärung (UR-Nr. 2811/2025): Diese sei ohne ordentlichen Erbengemeinschaftsbeschluss veranlasst worden.</w:t>
      </w:r>
    </w:p>
    <w:p/>
    <w:p>
      <w:pPr>
        <w:pStyle w:val="Heading2"/>
      </w:pPr>
      <w:r>
        <w:rPr>
          <w:rFonts w:ascii="Times New Roman" w:hAnsi="Times New Roman"/>
        </w:rPr>
        <w:t>4. Optionen für Käufer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Option</w:t>
            </w:r>
          </w:p>
        </w:tc>
        <w:tc>
          <w:tcPr>
            <w:tcW w:type="dxa" w:w="2268"/>
          </w:tcPr>
          <w:p>
            <w:r>
              <w:rPr>
                <w:rFonts w:ascii="Times New Roman" w:hAnsi="Times New Roman"/>
                <w:b/>
                <w:sz w:val="20"/>
              </w:rPr>
              <w:t>Beschreibung</w:t>
            </w:r>
          </w:p>
        </w:tc>
        <w:tc>
          <w:tcPr>
            <w:tcW w:type="dxa" w:w="2268"/>
          </w:tcPr>
          <w:p>
            <w:r>
              <w:rPr>
                <w:rFonts w:ascii="Times New Roman" w:hAnsi="Times New Roman"/>
                <w:b/>
                <w:sz w:val="20"/>
              </w:rPr>
              <w:t>Zeitrahmen</w:t>
            </w:r>
          </w:p>
        </w:tc>
        <w:tc>
          <w:tcPr>
            <w:tcW w:type="dxa" w:w="2268"/>
          </w:tcPr>
          <w:p>
            <w:r>
              <w:rPr>
                <w:rFonts w:ascii="Times New Roman" w:hAnsi="Times New Roman"/>
                <w:b/>
                <w:sz w:val="20"/>
              </w:rPr>
              <w:t>Risiko</w:t>
            </w:r>
          </w:p>
        </w:tc>
      </w:tr>
      <w:tr>
        <w:tc>
          <w:tcPr>
            <w:tcW w:type="dxa" w:w="2268"/>
          </w:tcPr>
          <w:p>
            <w:r>
              <w:rPr>
                <w:rFonts w:ascii="Times New Roman" w:hAnsi="Times New Roman"/>
                <w:sz w:val="20"/>
              </w:rPr>
              <w:t>Verhandlung</w:t>
            </w:r>
          </w:p>
        </w:tc>
        <w:tc>
          <w:tcPr>
            <w:tcW w:type="dxa" w:w="2268"/>
          </w:tcPr>
          <w:p>
            <w:r>
              <w:rPr>
                <w:rFonts w:ascii="Times New Roman" w:hAnsi="Times New Roman"/>
                <w:sz w:val="20"/>
              </w:rPr>
              <w:t>Einigung mit Katharina Hellmann-Faber über Kaufpreis / Bedingungen</w:t>
            </w:r>
          </w:p>
        </w:tc>
        <w:tc>
          <w:tcPr>
            <w:tcW w:type="dxa" w:w="2268"/>
          </w:tcPr>
          <w:p>
            <w:r>
              <w:rPr>
                <w:rFonts w:ascii="Times New Roman" w:hAnsi="Times New Roman"/>
                <w:sz w:val="20"/>
              </w:rPr>
              <w:t>4–8 Wochen</w:t>
            </w:r>
          </w:p>
        </w:tc>
        <w:tc>
          <w:tcPr>
            <w:tcW w:type="dxa" w:w="2268"/>
          </w:tcPr>
          <w:p>
            <w:r>
              <w:rPr>
                <w:rFonts w:ascii="Times New Roman" w:hAnsi="Times New Roman"/>
                <w:sz w:val="20"/>
              </w:rPr>
              <w:t>Mittel</w:t>
            </w:r>
          </w:p>
        </w:tc>
      </w:tr>
      <w:tr>
        <w:tc>
          <w:tcPr>
            <w:tcW w:type="dxa" w:w="2268"/>
          </w:tcPr>
          <w:p>
            <w:r>
              <w:rPr>
                <w:rFonts w:ascii="Times New Roman" w:hAnsi="Times New Roman"/>
                <w:sz w:val="20"/>
              </w:rPr>
              <w:t>Klage auf Zustimmung</w:t>
            </w:r>
          </w:p>
        </w:tc>
        <w:tc>
          <w:tcPr>
            <w:tcW w:type="dxa" w:w="2268"/>
          </w:tcPr>
          <w:p>
            <w:r>
              <w:rPr>
                <w:rFonts w:ascii="Times New Roman" w:hAnsi="Times New Roman"/>
                <w:sz w:val="20"/>
              </w:rPr>
              <w:t>Feststellungsklage / Zustimmungsklage (selten direkt möglich)</w:t>
            </w:r>
          </w:p>
        </w:tc>
        <w:tc>
          <w:tcPr>
            <w:tcW w:type="dxa" w:w="2268"/>
          </w:tcPr>
          <w:p>
            <w:r>
              <w:rPr>
                <w:rFonts w:ascii="Times New Roman" w:hAnsi="Times New Roman"/>
                <w:sz w:val="20"/>
              </w:rPr>
              <w:t>6–18 Monate</w:t>
            </w:r>
          </w:p>
        </w:tc>
        <w:tc>
          <w:tcPr>
            <w:tcW w:type="dxa" w:w="2268"/>
          </w:tcPr>
          <w:p>
            <w:r>
              <w:rPr>
                <w:rFonts w:ascii="Times New Roman" w:hAnsi="Times New Roman"/>
                <w:sz w:val="20"/>
              </w:rPr>
              <w:t>Hoch</w:t>
            </w:r>
          </w:p>
        </w:tc>
      </w:tr>
      <w:tr>
        <w:tc>
          <w:tcPr>
            <w:tcW w:type="dxa" w:w="2268"/>
          </w:tcPr>
          <w:p>
            <w:r>
              <w:rPr>
                <w:rFonts w:ascii="Times New Roman" w:hAnsi="Times New Roman"/>
                <w:sz w:val="20"/>
              </w:rPr>
              <w:t>Teilungsversteigerungsdrohung</w:t>
            </w:r>
          </w:p>
        </w:tc>
        <w:tc>
          <w:tcPr>
            <w:tcW w:type="dxa" w:w="2268"/>
          </w:tcPr>
          <w:p>
            <w:r>
              <w:rPr>
                <w:rFonts w:ascii="Times New Roman" w:hAnsi="Times New Roman"/>
                <w:sz w:val="20"/>
              </w:rPr>
              <w:t>Andere Miterben drohen mit § 753/2042 BGB, um Katharina zu Einigung zu bewegen</w:t>
            </w:r>
          </w:p>
        </w:tc>
        <w:tc>
          <w:tcPr>
            <w:tcW w:type="dxa" w:w="2268"/>
          </w:tcPr>
          <w:p>
            <w:r>
              <w:rPr>
                <w:rFonts w:ascii="Times New Roman" w:hAnsi="Times New Roman"/>
                <w:sz w:val="20"/>
              </w:rPr>
              <w:t>4–8 Wochen</w:t>
            </w:r>
          </w:p>
        </w:tc>
        <w:tc>
          <w:tcPr>
            <w:tcW w:type="dxa" w:w="2268"/>
          </w:tcPr>
          <w:p>
            <w:r>
              <w:rPr>
                <w:rFonts w:ascii="Times New Roman" w:hAnsi="Times New Roman"/>
                <w:sz w:val="20"/>
              </w:rPr>
              <w:t>Mittel</w:t>
            </w:r>
          </w:p>
        </w:tc>
      </w:tr>
      <w:tr>
        <w:tc>
          <w:tcPr>
            <w:tcW w:type="dxa" w:w="2268"/>
          </w:tcPr>
          <w:p>
            <w:r>
              <w:rPr>
                <w:rFonts w:ascii="Times New Roman" w:hAnsi="Times New Roman"/>
                <w:sz w:val="20"/>
              </w:rPr>
              <w:t>Kauf des Erbteils von K.H.-F.</w:t>
            </w:r>
          </w:p>
        </w:tc>
        <w:tc>
          <w:tcPr>
            <w:tcW w:type="dxa" w:w="2268"/>
          </w:tcPr>
          <w:p>
            <w:r>
              <w:rPr>
                <w:rFonts w:ascii="Times New Roman" w:hAnsi="Times New Roman"/>
                <w:sz w:val="20"/>
              </w:rPr>
              <w:t>Erwerb des 1/4-Erbteils zu eigenem Preis durch andere Miterbe oder Dritten (§ 2033 Abs. 1 BGB)</w:t>
            </w:r>
          </w:p>
        </w:tc>
        <w:tc>
          <w:tcPr>
            <w:tcW w:type="dxa" w:w="2268"/>
          </w:tcPr>
          <w:p>
            <w:r>
              <w:rPr>
                <w:rFonts w:ascii="Times New Roman" w:hAnsi="Times New Roman"/>
                <w:sz w:val="20"/>
              </w:rPr>
              <w:t>2–4 Wochen</w:t>
            </w:r>
          </w:p>
        </w:tc>
        <w:tc>
          <w:tcPr>
            <w:tcW w:type="dxa" w:w="2268"/>
          </w:tcPr>
          <w:p>
            <w:r>
              <w:rPr>
                <w:rFonts w:ascii="Times New Roman" w:hAnsi="Times New Roman"/>
                <w:sz w:val="20"/>
              </w:rPr>
              <w:t>Niedrig bis mittel</w:t>
            </w:r>
          </w:p>
        </w:tc>
      </w:tr>
    </w:tbl>
    <w:p>
      <w:pPr>
        <w:jc w:val="left"/>
      </w:pPr>
      <w:r>
        <w:rPr>
          <w:b/>
        </w:rPr>
        <w:t>Empfehlung:</w:t>
      </w:r>
      <w:r>
        <w:t xml:space="preserve"> Kaufpreis-Angebot leicht erhöhen (auf 4,9 Mio. EUR als Verhandlungsspielraum), kombiniert mit konkreter Drohung der Teilungsversteigerung durch die übrigen drei Miterben. Koordiniertes Vorgehen mit den Erben Dr. Hildegard Hellmann-Vogt, Marcus Hellmann und der Stiftung.</w:t>
      </w:r>
    </w:p>
    <w:p/>
    <w:p>
      <w:pPr>
        <w:pStyle w:val="Heading2"/>
      </w:pPr>
      <w:r>
        <w:rPr>
          <w:rFonts w:ascii="Times New Roman" w:hAnsi="Times New Roman"/>
        </w:rPr>
        <w:t>5. Erbschein und Vollmachten</w:t>
      </w:r>
    </w:p>
    <w:p>
      <w:pPr>
        <w:jc w:val="left"/>
      </w:pPr>
      <w:r>
        <w:t>Erbschein liegt vor; notarielle Vollmacht zur Veräußerung liegt von drei von vier Miterben vor (Dr. Hildegard Hellmann-Vogt UR-Nr. 2850/2025; Marcus Hellmann UR-Nr. 2851/2025; Stiftung UR-Nr. 2852/2025 — alle Notar Breitenbach, Stuttgart). Katharina Hellmann-Faber: keine Vollmacht erteilt.</w:t>
      </w:r>
    </w:p>
    <w:p>
      <w:pPr>
        <w:jc w:val="left"/>
      </w:pPr>
      <w:r>
        <w:rPr>
          <w:b/>
        </w:rPr>
        <w:t>Handlungsbedarf:</w:t>
      </w:r>
      <w:r>
        <w:t xml:space="preserve"> Ohne K.H.-F.'s Vollmacht kann Kaufvertrag nicht wirksam beurkundet werden.</w:t>
      </w:r>
    </w:p>
    <w:p/>
    <w:p>
      <w:pPr>
        <w:pStyle w:val="Heading2"/>
      </w:pPr>
      <w:r>
        <w:rPr>
          <w:rFonts w:ascii="Times New Roman" w:hAnsi="Times New Roman"/>
        </w:rPr>
        <w:t>Quellen</w:t>
      </w:r>
    </w:p>
    <w:p>
      <w:pPr>
        <w:pStyle w:val="ListBullet"/>
      </w:pPr>
      <w:r>
        <w:t>§ 2032 BGB — dejure.org</w:t>
      </w:r>
    </w:p>
    <w:p>
      <w:pPr>
        <w:pStyle w:val="ListBullet"/>
      </w:pPr>
      <w:r>
        <w:t>§ 2033 BGB — dejure.org</w:t>
      </w:r>
    </w:p>
    <w:p>
      <w:pPr>
        <w:pStyle w:val="ListBullet"/>
      </w:pPr>
      <w:r>
        <w:t>§ 2038 BGB — dejure.org</w:t>
      </w:r>
    </w:p>
    <w:p>
      <w:pPr>
        <w:pStyle w:val="ListBullet"/>
      </w:pPr>
      <w:r>
        <w:t>§ 2040 BGB — dejure.org</w:t>
      </w:r>
    </w:p>
    <w:p>
      <w:pPr>
        <w:pStyle w:val="ListBullet"/>
      </w:pPr>
      <w:r>
        <w:t>§ 2042 BGB — dejure.org</w:t>
      </w:r>
    </w:p>
    <w:p>
      <w:pPr>
        <w:pStyle w:val="ListBullet"/>
      </w:pPr>
      <w:r>
        <w:t>§ 2002 BGB — dejure.org</w:t>
      </w:r>
    </w:p>
    <w:p>
      <w:pPr>
        <w:pStyle w:val="ListBullet"/>
      </w:pPr>
      <w:r>
        <w:t>§§ 180 ff. ZVG — dejure.org</w:t>
      </w:r>
    </w:p>
    <w:p>
      <w:pPr>
        <w:pStyle w:val="ListBullet"/>
      </w:pPr>
      <w:r>
        <w:t>BGH, Urt. v. 11.09.2002 — XII ZR 187/00 — Auseinandersetzung Erbengemeinschaft</w:t>
      </w:r>
    </w:p>
    <w:p/>
    <w:p>
      <w:pPr>
        <w:jc w:val="left"/>
      </w:pPr>
      <w:r>
        <w:rPr>
          <w:i/>
        </w:rPr>
        <w:t>Bearbeiter: RA/Notar Dr. Bertram Schwingenstein</w:t>
      </w:r>
    </w:p>
    <w:p>
      <w:pPr>
        <w:jc w:val="left"/>
      </w:pPr>
      <w:r>
        <w:rPr>
          <w:i/>
        </w:rPr>
        <w:t>Datum: 22.02.2026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